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b/>
          <w:color w:val="0EA5E9"/>
          <w:sz w:val="16"/>
        </w:rPr>
        <w:t>EMBERWOLVES  |  TECH-TRIATHLON 2026  |  WAYPOINT DISPATCH  |  DESIGNATHON</w:t>
      </w:r>
    </w:p>
    <w:p>
      <w:pPr>
        <w:spacing w:before="0" w:after="0"/>
        <w:pBdr>
          <w:bottom w:val="single" w:sz="18" w:space="0" w:color="0F172A"/>
        </w:pBdr>
      </w:pPr>
    </w:p>
    <w:p>
      <w:pPr>
        <w:spacing w:before="120" w:after="60"/>
      </w:pPr>
      <w:r>
        <w:rPr>
          <w:b/>
          <w:color w:val="0F172A"/>
          <w:sz w:val="56"/>
        </w:rPr>
        <w:t>Core Design Tradeoff</w:t>
      </w:r>
    </w:p>
    <w:p>
      <w:pPr>
        <w:spacing w:before="0" w:after="180"/>
      </w:pPr>
      <w:r>
        <w:rPr>
          <w:color w:val="475569"/>
          <w:sz w:val="22"/>
        </w:rPr>
        <w:t>The central product decision shaping the scope and architecture of Waypoint Dispatch.</w:t>
      </w:r>
    </w:p>
    <w:p>
      <w:pPr>
        <w:spacing w:before="0" w:after="240"/>
        <w:pBdr>
          <w:bottom w:val="single" w:sz="4" w:space="0" w:color="E2E8F0"/>
        </w:pBdr>
      </w:pPr>
    </w:p>
    <w:p>
      <w:pPr>
        <w:spacing w:before="280" w:after="100"/>
        <w:pBdr>
          <w:bottom w:val="single" w:sz="8" w:space="0" w:color="0F172A"/>
        </w:pBdr>
      </w:pPr>
      <w:r>
        <w:rPr>
          <w:b/>
          <w:color w:val="0F172A"/>
          <w:sz w:val="32"/>
        </w:rPr>
        <w:t>The Tension</w:t>
      </w:r>
    </w:p>
    <w:p>
      <w:pPr>
        <w:spacing w:before="0" w:after="100"/>
      </w:pPr>
      <w:r>
        <w:rPr>
          <w:b w:val="0"/>
          <w:color w:val="475569"/>
          <w:sz w:val="21"/>
        </w:rPr>
        <w:t>The Challenge Booklet defines a 6-stage delivery workflow across 4 distinct user roles, each in radically different physical environments. Designing this system forces a fundamental product decision:</w:t>
      </w:r>
    </w:p>
    <w:tbl>
      <w:tblPr>
        <w:tblStyle w:val="TableGrid"/>
        <w:tblW w:type="auto" w:w="0"/>
        <w:jc w:val="left"/>
        <w:tblLook w:firstColumn="1" w:firstRow="1" w:lastColumn="0" w:lastRow="0" w:noHBand="0" w:noVBand="1" w:val="04A0"/>
      </w:tblPr>
      <w:tblGrid>
        <w:gridCol w:w="3135"/>
        <w:gridCol w:w="3135"/>
        <w:gridCol w:w="3135"/>
      </w:tblGrid>
      <w:tr>
        <w:tc>
          <w:tcPr>
            <w:tcW w:type="dxa" w:w="1984"/>
            <w:shd w:val="clear" w:color="auto" w:fill="0F172A"/>
            <w:vAlign w:val="center"/>
          </w:tcPr>
          <w:p>
            <w:pPr>
              <w:jc w:val="left"/>
              <w:spacing w:before="60" w:after="60"/>
            </w:pPr>
            <w:r>
              <w:rPr>
                <w:b/>
                <w:color w:val="FFFFFF"/>
                <w:sz w:val="18"/>
              </w:rPr>
              <w:t>OPTION</w:t>
            </w:r>
          </w:p>
        </w:tc>
        <w:tc>
          <w:tcPr>
            <w:tcW w:type="dxa" w:w="3685"/>
            <w:shd w:val="clear" w:color="auto" w:fill="0F172A"/>
            <w:vAlign w:val="center"/>
          </w:tcPr>
          <w:p>
            <w:pPr>
              <w:jc w:val="left"/>
              <w:spacing w:before="60" w:after="60"/>
            </w:pPr>
            <w:r>
              <w:rPr>
                <w:b/>
                <w:color w:val="FFFFFF"/>
                <w:sz w:val="18"/>
              </w:rPr>
              <w:t>APPROACH</w:t>
            </w:r>
          </w:p>
        </w:tc>
        <w:tc>
          <w:tcPr>
            <w:tcW w:type="dxa" w:w="3685"/>
            <w:shd w:val="clear" w:color="auto" w:fill="0F172A"/>
            <w:vAlign w:val="center"/>
          </w:tcPr>
          <w:p>
            <w:pPr>
              <w:jc w:val="left"/>
              <w:spacing w:before="60" w:after="60"/>
            </w:pPr>
            <w:r>
              <w:rPr>
                <w:b/>
                <w:color w:val="FFFFFF"/>
                <w:sz w:val="18"/>
              </w:rPr>
              <w:t>RISK OR OUTCOME</w:t>
            </w:r>
          </w:p>
        </w:tc>
      </w:tr>
      <w:tr>
        <w:tc>
          <w:tcPr>
            <w:tcW w:type="dxa" w:w="1984"/>
            <w:shd w:val="clear" w:color="auto" w:fill="FFFFFF"/>
            <w:vAlign w:val="top"/>
          </w:tcPr>
          <w:p>
            <w:pPr>
              <w:spacing w:before="60" w:after="60"/>
            </w:pPr>
            <w:r>
              <w:rPr>
                <w:b/>
                <w:color w:val="0F172A"/>
                <w:sz w:val="20"/>
              </w:rPr>
              <w:t>Option A - Not Chosen</w:t>
            </w:r>
          </w:p>
        </w:tc>
        <w:tc>
          <w:tcPr>
            <w:tcW w:type="dxa" w:w="3685"/>
            <w:shd w:val="clear" w:color="auto" w:fill="FFFFFF"/>
            <w:vAlign w:val="top"/>
          </w:tcPr>
          <w:p>
            <w:pPr>
              <w:spacing w:before="60" w:after="60"/>
            </w:pPr>
            <w:r>
              <w:rPr>
                <w:color w:val="475569"/>
                <w:sz w:val="20"/>
              </w:rPr>
              <w:t>Fewer Screens, Maximum Depth: Design 8-12 screens with elaborate interaction states, micro-animations, loading skeletons, and exhaustive edge-case handling for every state combination.</w:t>
            </w:r>
          </w:p>
        </w:tc>
        <w:tc>
          <w:tcPr>
            <w:tcW w:type="dxa" w:w="3685"/>
            <w:shd w:val="clear" w:color="auto" w:fill="FFFFFF"/>
            <w:vAlign w:val="top"/>
          </w:tcPr>
          <w:p>
            <w:pPr>
              <w:spacing w:before="60" w:after="60"/>
            </w:pPr>
            <w:r>
              <w:rPr>
                <w:color w:val="475569"/>
                <w:sz w:val="20"/>
              </w:rPr>
              <w:t>Risk: Entire workflow stages left unrepresented. A judge cannot trace the dispatcher's deferral decision to the loader's revised manifest, or the driver's SOS to the store manager's ETA update. System appears complete at surface level but breaks as a holistic product.</w:t>
            </w:r>
          </w:p>
        </w:tc>
      </w:tr>
      <w:tr>
        <w:tc>
          <w:tcPr>
            <w:tcW w:type="dxa" w:w="1984"/>
            <w:shd w:val="clear" w:color="auto" w:fill="F8FAFC"/>
            <w:vAlign w:val="top"/>
          </w:tcPr>
          <w:p>
            <w:pPr>
              <w:spacing w:before="60" w:after="60"/>
            </w:pPr>
            <w:r>
              <w:rPr>
                <w:b/>
                <w:color w:val="0F172A"/>
                <w:sz w:val="20"/>
              </w:rPr>
              <w:t>Option B - Chosen</w:t>
            </w:r>
          </w:p>
        </w:tc>
        <w:tc>
          <w:tcPr>
            <w:tcW w:type="dxa" w:w="3685"/>
            <w:shd w:val="clear" w:color="auto" w:fill="F8FAFC"/>
            <w:vAlign w:val="top"/>
          </w:tcPr>
          <w:p>
            <w:pPr>
              <w:spacing w:before="60" w:after="60"/>
            </w:pPr>
            <w:r>
              <w:rPr>
                <w:color w:val="475569"/>
                <w:sz w:val="20"/>
              </w:rPr>
              <w:t>Complete Coverage, Strategic Depth: Design all screens needed for every role end-to-end, with concentrated detail on the 3 degradation scenarios (15% judging weight) and highest-risk operational moments.</w:t>
            </w:r>
          </w:p>
        </w:tc>
        <w:tc>
          <w:tcPr>
            <w:tcW w:type="dxa" w:w="3685"/>
            <w:shd w:val="clear" w:color="auto" w:fill="F8FAFC"/>
            <w:vAlign w:val="top"/>
          </w:tcPr>
          <w:p>
            <w:pPr>
              <w:spacing w:before="60" w:after="60"/>
            </w:pPr>
            <w:r>
              <w:rPr>
                <w:color w:val="475569"/>
                <w:sz w:val="20"/>
              </w:rPr>
              <w:t>Result: 30 screens across 4 roles. Every stage of the 6-stage delivery workflow is represented. Cross-role systemic connections are demonstrable. The 3 degradation scenarios are fully designed with cross-role impact.</w:t>
            </w:r>
          </w:p>
        </w:tc>
      </w:tr>
    </w:tbl>
    <w:p>
      <w:pPr>
        <w:spacing w:before="280" w:after="100"/>
        <w:pBdr>
          <w:bottom w:val="single" w:sz="8" w:space="0" w:color="0F172A"/>
        </w:pBdr>
      </w:pPr>
      <w:r>
        <w:rPr>
          <w:b/>
          <w:color w:val="0F172A"/>
          <w:sz w:val="32"/>
        </w:rPr>
        <w:t>Why Option B Is the Right Choice</w:t>
      </w:r>
    </w:p>
    <w:p>
      <w:pPr>
        <w:spacing w:before="180" w:after="60"/>
      </w:pPr>
      <w:r>
        <w:rPr>
          <w:b/>
          <w:color w:val="0F172A"/>
          <w:sz w:val="26"/>
        </w:rPr>
        <w:t>1. The Booklet Requires Cross-Role Connectivity</w:t>
      </w:r>
    </w:p>
    <w:p>
      <w:pPr>
        <w:spacing w:before="0" w:after="100"/>
      </w:pPr>
      <w:r>
        <w:rPr>
          <w:b w:val="0"/>
          <w:color w:val="475569"/>
          <w:sz w:val="21"/>
        </w:rPr>
        <w:t>The Challenge Booklet states: "Connect the role-specific experiences. A dispatcher's decision should reach the loader, and a driver's delivery record should give the store manager information they can act on." This is only demonstrable when every role's workflow is fully represented.</w:t>
      </w:r>
    </w:p>
    <w:p>
      <w:pPr>
        <w:spacing w:before="180" w:after="60"/>
      </w:pPr>
      <w:r>
        <w:rPr>
          <w:b/>
          <w:color w:val="0F172A"/>
          <w:sz w:val="26"/>
        </w:rPr>
        <w:t>2. Degradation Scenarios Span Multiple Roles</w:t>
      </w:r>
    </w:p>
    <w:p>
      <w:pPr>
        <w:spacing w:before="0" w:after="100"/>
      </w:pPr>
      <w:r>
        <w:rPr>
          <w:b w:val="0"/>
          <w:color w:val="475569"/>
          <w:sz w:val="21"/>
        </w:rPr>
        <w:t>Scenario 3 (Vehicle Breakdown) involves the driver (DRV-07), the dispatcher (DISP-07), and the store manager (STORE-01). Designing only one role's perspective would miss the cross-role impact that makes the scenario operationally significant.</w:t>
      </w:r>
    </w:p>
    <w:p>
      <w:pPr>
        <w:spacing w:before="180" w:after="60"/>
      </w:pPr>
      <w:r>
        <w:rPr>
          <w:b/>
          <w:color w:val="0F172A"/>
          <w:sz w:val="26"/>
        </w:rPr>
        <w:t>3. Restraint Was Applied at the Feature Level</w:t>
      </w:r>
    </w:p>
    <w:p>
      <w:pPr>
        <w:spacing w:before="0" w:after="100"/>
      </w:pPr>
      <w:r>
        <w:rPr>
          <w:b w:val="0"/>
          <w:color w:val="475569"/>
          <w:sz w:val="21"/>
        </w:rPr>
        <w:t>We did not add screens to pad scope. Every screen serves a specific stage of the 6-stage delivery cycle. Features deliberately excluded:</w:t>
      </w:r>
    </w:p>
    <w:p>
      <w:pPr>
        <w:pStyle w:val="ListBullet"/>
        <w:spacing w:before="0" w:after="60"/>
      </w:pPr>
      <w:r>
        <w:rPr>
          <w:color w:val="475569"/>
          <w:sz w:val="21"/>
        </w:rPr>
        <w:t>In-app driver-dispatcher chat (phone/SMS handles real-time conversation)</w:t>
      </w:r>
    </w:p>
    <w:p>
      <w:pPr>
        <w:pStyle w:val="ListBullet"/>
        <w:spacing w:before="0" w:after="60"/>
      </w:pPr>
      <w:r>
        <w:rPr>
          <w:color w:val="475569"/>
          <w:sz w:val="21"/>
        </w:rPr>
        <w:t>Payroll / driver payment calculators (belongs to HRMS, not dispatch)</w:t>
      </w:r>
    </w:p>
    <w:p>
      <w:pPr>
        <w:pStyle w:val="ListBullet"/>
        <w:spacing w:before="0" w:after="60"/>
      </w:pPr>
      <w:r>
        <w:rPr>
          <w:color w:val="475569"/>
          <w:sz w:val="21"/>
        </w:rPr>
        <w:t>Inventory management and stock level tracking (belongs to WMS, not delivery planning)</w:t>
      </w:r>
    </w:p>
    <w:p>
      <w:pPr>
        <w:pStyle w:val="ListBullet"/>
        <w:spacing w:before="0" w:after="60"/>
      </w:pPr>
      <w:r>
        <w:rPr>
          <w:color w:val="475569"/>
          <w:sz w:val="21"/>
        </w:rPr>
        <w:t>Analytics dashboards and business intelligence (beyond the dispatch workflow boundary)</w:t>
      </w:r>
    </w:p>
    <w:p>
      <w:pPr>
        <w:spacing w:before="280" w:after="100"/>
        <w:pBdr>
          <w:bottom w:val="single" w:sz="8" w:space="0" w:color="0F172A"/>
        </w:pBdr>
      </w:pPr>
      <w:r>
        <w:rPr>
          <w:b/>
          <w:color w:val="0F172A"/>
          <w:sz w:val="32"/>
        </w:rPr>
        <w:t>Workflow Coverage Map</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0F172A"/>
            <w:vAlign w:val="center"/>
          </w:tcPr>
          <w:p>
            <w:pPr>
              <w:jc w:val="left"/>
              <w:spacing w:before="60" w:after="60"/>
            </w:pPr>
            <w:r>
              <w:rPr>
                <w:b/>
                <w:color w:val="FFFFFF"/>
                <w:sz w:val="18"/>
              </w:rPr>
              <w:t>MODULE</w:t>
            </w:r>
          </w:p>
        </w:tc>
        <w:tc>
          <w:tcPr>
            <w:tcW w:type="dxa" w:w="1701"/>
            <w:shd w:val="clear" w:color="auto" w:fill="0F172A"/>
            <w:vAlign w:val="center"/>
          </w:tcPr>
          <w:p>
            <w:pPr>
              <w:jc w:val="left"/>
              <w:spacing w:before="60" w:after="60"/>
            </w:pPr>
            <w:r>
              <w:rPr>
                <w:b/>
                <w:color w:val="FFFFFF"/>
                <w:sz w:val="18"/>
              </w:rPr>
              <w:t>ROLE</w:t>
            </w:r>
          </w:p>
        </w:tc>
        <w:tc>
          <w:tcPr>
            <w:tcW w:type="dxa" w:w="2268"/>
            <w:shd w:val="clear" w:color="auto" w:fill="0F172A"/>
            <w:vAlign w:val="center"/>
          </w:tcPr>
          <w:p>
            <w:pPr>
              <w:jc w:val="left"/>
              <w:spacing w:before="60" w:after="60"/>
            </w:pPr>
            <w:r>
              <w:rPr>
                <w:b/>
                <w:color w:val="FFFFFF"/>
                <w:sz w:val="18"/>
              </w:rPr>
              <w:t>SCREENS</w:t>
            </w:r>
          </w:p>
        </w:tc>
        <w:tc>
          <w:tcPr>
            <w:tcW w:type="dxa" w:w="3402"/>
            <w:shd w:val="clear" w:color="auto" w:fill="0F172A"/>
            <w:vAlign w:val="center"/>
          </w:tcPr>
          <w:p>
            <w:pPr>
              <w:jc w:val="left"/>
              <w:spacing w:before="60" w:after="60"/>
            </w:pPr>
            <w:r>
              <w:rPr>
                <w:b/>
                <w:color w:val="FFFFFF"/>
                <w:sz w:val="18"/>
              </w:rPr>
              <w:t>KEY CAPABILITY</w:t>
            </w:r>
          </w:p>
        </w:tc>
      </w:tr>
      <w:tr>
        <w:tc>
          <w:tcPr>
            <w:tcW w:type="dxa" w:w="1984"/>
            <w:shd w:val="clear" w:color="auto" w:fill="FFFFFF"/>
            <w:vAlign w:val="top"/>
          </w:tcPr>
          <w:p>
            <w:pPr>
              <w:spacing w:before="60" w:after="60"/>
            </w:pPr>
            <w:r>
              <w:rPr>
                <w:b/>
                <w:color w:val="0F172A"/>
                <w:sz w:val="20"/>
              </w:rPr>
              <w:t>Authentication</w:t>
            </w:r>
          </w:p>
        </w:tc>
        <w:tc>
          <w:tcPr>
            <w:tcW w:type="dxa" w:w="1701"/>
            <w:shd w:val="clear" w:color="auto" w:fill="FFFFFF"/>
            <w:vAlign w:val="top"/>
          </w:tcPr>
          <w:p>
            <w:pPr>
              <w:spacing w:before="60" w:after="60"/>
            </w:pPr>
            <w:r>
              <w:rPr>
                <w:color w:val="475569"/>
                <w:sz w:val="20"/>
              </w:rPr>
              <w:t>All Roles</w:t>
            </w:r>
          </w:p>
        </w:tc>
        <w:tc>
          <w:tcPr>
            <w:tcW w:type="dxa" w:w="2268"/>
            <w:shd w:val="clear" w:color="auto" w:fill="FFFFFF"/>
            <w:vAlign w:val="top"/>
          </w:tcPr>
          <w:p>
            <w:pPr>
              <w:spacing w:before="60" w:after="60"/>
            </w:pPr>
            <w:r>
              <w:rPr>
                <w:color w:val="475569"/>
                <w:sz w:val="20"/>
              </w:rPr>
              <w:t>AUTH-01</w:t>
            </w:r>
          </w:p>
        </w:tc>
        <w:tc>
          <w:tcPr>
            <w:tcW w:type="dxa" w:w="3402"/>
            <w:shd w:val="clear" w:color="auto" w:fill="FFFFFF"/>
            <w:vAlign w:val="top"/>
          </w:tcPr>
          <w:p>
            <w:pPr>
              <w:spacing w:before="60" w:after="60"/>
            </w:pPr>
            <w:r>
              <w:rPr>
                <w:color w:val="475569"/>
                <w:sz w:val="20"/>
              </w:rPr>
              <w:t>1-click judge persona injection, seeded credentials</w:t>
            </w:r>
          </w:p>
        </w:tc>
      </w:tr>
      <w:tr>
        <w:tc>
          <w:tcPr>
            <w:tcW w:type="dxa" w:w="1984"/>
            <w:shd w:val="clear" w:color="auto" w:fill="F8FAFC"/>
            <w:vAlign w:val="top"/>
          </w:tcPr>
          <w:p>
            <w:pPr>
              <w:spacing w:before="60" w:after="60"/>
            </w:pPr>
            <w:r>
              <w:rPr>
                <w:b/>
                <w:color w:val="0F172A"/>
                <w:sz w:val="20"/>
              </w:rPr>
              <w:t>System Utilities</w:t>
            </w:r>
          </w:p>
        </w:tc>
        <w:tc>
          <w:tcPr>
            <w:tcW w:type="dxa" w:w="1701"/>
            <w:shd w:val="clear" w:color="auto" w:fill="F8FAFC"/>
            <w:vAlign w:val="top"/>
          </w:tcPr>
          <w:p>
            <w:pPr>
              <w:spacing w:before="60" w:after="60"/>
            </w:pPr>
            <w:r>
              <w:rPr>
                <w:color w:val="475569"/>
                <w:sz w:val="20"/>
              </w:rPr>
              <w:t>All Roles</w:t>
            </w:r>
          </w:p>
        </w:tc>
        <w:tc>
          <w:tcPr>
            <w:tcW w:type="dxa" w:w="2268"/>
            <w:shd w:val="clear" w:color="auto" w:fill="F8FAFC"/>
            <w:vAlign w:val="top"/>
          </w:tcPr>
          <w:p>
            <w:pPr>
              <w:spacing w:before="60" w:after="60"/>
            </w:pPr>
            <w:r>
              <w:rPr>
                <w:color w:val="475569"/>
                <w:sz w:val="20"/>
              </w:rPr>
              <w:t>SYS-01</w:t>
            </w:r>
          </w:p>
        </w:tc>
        <w:tc>
          <w:tcPr>
            <w:tcW w:type="dxa" w:w="3402"/>
            <w:shd w:val="clear" w:color="auto" w:fill="F8FAFC"/>
            <w:vAlign w:val="top"/>
          </w:tcPr>
          <w:p>
            <w:pPr>
              <w:spacing w:before="60" w:after="60"/>
            </w:pPr>
            <w:r>
              <w:rPr>
                <w:color w:val="475569"/>
                <w:sz w:val="20"/>
              </w:rPr>
              <w:t>Global nav drawer, connectivity pulse, accessibility toggles</w:t>
            </w:r>
          </w:p>
        </w:tc>
      </w:tr>
      <w:tr>
        <w:tc>
          <w:tcPr>
            <w:tcW w:type="dxa" w:w="1984"/>
            <w:shd w:val="clear" w:color="auto" w:fill="FFFFFF"/>
            <w:vAlign w:val="top"/>
          </w:tcPr>
          <w:p>
            <w:pPr>
              <w:spacing w:before="60" w:after="60"/>
            </w:pPr>
            <w:r>
              <w:rPr>
                <w:b/>
                <w:color w:val="0F172A"/>
                <w:sz w:val="20"/>
              </w:rPr>
              <w:t>Store Manager</w:t>
            </w:r>
          </w:p>
        </w:tc>
        <w:tc>
          <w:tcPr>
            <w:tcW w:type="dxa" w:w="1701"/>
            <w:shd w:val="clear" w:color="auto" w:fill="FFFFFF"/>
            <w:vAlign w:val="top"/>
          </w:tcPr>
          <w:p>
            <w:pPr>
              <w:spacing w:before="60" w:after="60"/>
            </w:pPr>
            <w:r>
              <w:rPr>
                <w:color w:val="475569"/>
                <w:sz w:val="20"/>
              </w:rPr>
              <w:t>Priya</w:t>
            </w:r>
          </w:p>
        </w:tc>
        <w:tc>
          <w:tcPr>
            <w:tcW w:type="dxa" w:w="2268"/>
            <w:shd w:val="clear" w:color="auto" w:fill="FFFFFF"/>
            <w:vAlign w:val="top"/>
          </w:tcPr>
          <w:p>
            <w:pPr>
              <w:spacing w:before="60" w:after="60"/>
            </w:pPr>
            <w:r>
              <w:rPr>
                <w:color w:val="475569"/>
                <w:sz w:val="20"/>
              </w:rPr>
              <w:t>STORE-01 to 06</w:t>
            </w:r>
          </w:p>
        </w:tc>
        <w:tc>
          <w:tcPr>
            <w:tcW w:type="dxa" w:w="3402"/>
            <w:shd w:val="clear" w:color="auto" w:fill="FFFFFF"/>
            <w:vAlign w:val="top"/>
          </w:tcPr>
          <w:p>
            <w:pPr>
              <w:spacing w:before="60" w:after="60"/>
            </w:pPr>
            <w:r>
              <w:rPr>
                <w:color w:val="475569"/>
                <w:sz w:val="20"/>
              </w:rPr>
              <w:t>ETA countdown, ordering, tracking, receiving, dispute</w:t>
            </w:r>
          </w:p>
        </w:tc>
      </w:tr>
      <w:tr>
        <w:tc>
          <w:tcPr>
            <w:tcW w:type="dxa" w:w="1984"/>
            <w:shd w:val="clear" w:color="auto" w:fill="F8FAFC"/>
            <w:vAlign w:val="top"/>
          </w:tcPr>
          <w:p>
            <w:pPr>
              <w:spacing w:before="60" w:after="60"/>
            </w:pPr>
            <w:r>
              <w:rPr>
                <w:b/>
                <w:color w:val="0F172A"/>
                <w:sz w:val="20"/>
              </w:rPr>
              <w:t>Dispatcher</w:t>
            </w:r>
          </w:p>
        </w:tc>
        <w:tc>
          <w:tcPr>
            <w:tcW w:type="dxa" w:w="1701"/>
            <w:shd w:val="clear" w:color="auto" w:fill="F8FAFC"/>
            <w:vAlign w:val="top"/>
          </w:tcPr>
          <w:p>
            <w:pPr>
              <w:spacing w:before="60" w:after="60"/>
            </w:pPr>
            <w:r>
              <w:rPr>
                <w:color w:val="475569"/>
                <w:sz w:val="20"/>
              </w:rPr>
              <w:t>Kamal</w:t>
            </w:r>
          </w:p>
        </w:tc>
        <w:tc>
          <w:tcPr>
            <w:tcW w:type="dxa" w:w="2268"/>
            <w:shd w:val="clear" w:color="auto" w:fill="F8FAFC"/>
            <w:vAlign w:val="top"/>
          </w:tcPr>
          <w:p>
            <w:pPr>
              <w:spacing w:before="60" w:after="60"/>
            </w:pPr>
            <w:r>
              <w:rPr>
                <w:color w:val="475569"/>
                <w:sz w:val="20"/>
              </w:rPr>
              <w:t>DISP-01 to 08</w:t>
            </w:r>
          </w:p>
        </w:tc>
        <w:tc>
          <w:tcPr>
            <w:tcW w:type="dxa" w:w="3402"/>
            <w:shd w:val="clear" w:color="auto" w:fill="F8FAFC"/>
            <w:vAlign w:val="top"/>
          </w:tcPr>
          <w:p>
            <w:pPr>
              <w:spacing w:before="60" w:after="60"/>
            </w:pPr>
            <w:r>
              <w:rPr>
                <w:color w:val="475569"/>
                <w:sz w:val="20"/>
              </w:rPr>
              <w:t>Capacity, allocation, sequencing, deferral, live fleet, crisis</w:t>
            </w:r>
          </w:p>
        </w:tc>
      </w:tr>
      <w:tr>
        <w:tc>
          <w:tcPr>
            <w:tcW w:type="dxa" w:w="1984"/>
            <w:shd w:val="clear" w:color="auto" w:fill="FFFFFF"/>
            <w:vAlign w:val="top"/>
          </w:tcPr>
          <w:p>
            <w:pPr>
              <w:spacing w:before="60" w:after="60"/>
            </w:pPr>
            <w:r>
              <w:rPr>
                <w:b/>
                <w:color w:val="0F172A"/>
                <w:sz w:val="20"/>
              </w:rPr>
              <w:t>Loader</w:t>
            </w:r>
          </w:p>
        </w:tc>
        <w:tc>
          <w:tcPr>
            <w:tcW w:type="dxa" w:w="1701"/>
            <w:shd w:val="clear" w:color="auto" w:fill="FFFFFF"/>
            <w:vAlign w:val="top"/>
          </w:tcPr>
          <w:p>
            <w:pPr>
              <w:spacing w:before="60" w:after="60"/>
            </w:pPr>
            <w:r>
              <w:rPr>
                <w:color w:val="475569"/>
                <w:sz w:val="20"/>
              </w:rPr>
              <w:t>Nuwan</w:t>
            </w:r>
          </w:p>
        </w:tc>
        <w:tc>
          <w:tcPr>
            <w:tcW w:type="dxa" w:w="2268"/>
            <w:shd w:val="clear" w:color="auto" w:fill="FFFFFF"/>
            <w:vAlign w:val="top"/>
          </w:tcPr>
          <w:p>
            <w:pPr>
              <w:spacing w:before="60" w:after="60"/>
            </w:pPr>
            <w:r>
              <w:rPr>
                <w:color w:val="475569"/>
                <w:sz w:val="20"/>
              </w:rPr>
              <w:t>LOAD-01 to 06</w:t>
            </w:r>
          </w:p>
        </w:tc>
        <w:tc>
          <w:tcPr>
            <w:tcW w:type="dxa" w:w="3402"/>
            <w:shd w:val="clear" w:color="auto" w:fill="FFFFFF"/>
            <w:vAlign w:val="top"/>
          </w:tcPr>
          <w:p>
            <w:pPr>
              <w:spacing w:before="60" w:after="60"/>
            </w:pPr>
            <w:r>
              <w:rPr>
                <w:color w:val="475569"/>
                <w:sz w:val="20"/>
              </w:rPr>
              <w:t>Queue, inspect, load checklist, exception, seal, alert revision</w:t>
            </w:r>
          </w:p>
        </w:tc>
      </w:tr>
      <w:tr>
        <w:tc>
          <w:tcPr>
            <w:tcW w:type="dxa" w:w="1984"/>
            <w:shd w:val="clear" w:color="auto" w:fill="F8FAFC"/>
            <w:vAlign w:val="top"/>
          </w:tcPr>
          <w:p>
            <w:pPr>
              <w:spacing w:before="60" w:after="60"/>
            </w:pPr>
            <w:r>
              <w:rPr>
                <w:b/>
                <w:color w:val="0F172A"/>
                <w:sz w:val="20"/>
              </w:rPr>
              <w:t>Driver</w:t>
            </w:r>
          </w:p>
        </w:tc>
        <w:tc>
          <w:tcPr>
            <w:tcW w:type="dxa" w:w="1701"/>
            <w:shd w:val="clear" w:color="auto" w:fill="F8FAFC"/>
            <w:vAlign w:val="top"/>
          </w:tcPr>
          <w:p>
            <w:pPr>
              <w:spacing w:before="60" w:after="60"/>
            </w:pPr>
            <w:r>
              <w:rPr>
                <w:color w:val="475569"/>
                <w:sz w:val="20"/>
              </w:rPr>
              <w:t>Saman</w:t>
            </w:r>
          </w:p>
        </w:tc>
        <w:tc>
          <w:tcPr>
            <w:tcW w:type="dxa" w:w="2268"/>
            <w:shd w:val="clear" w:color="auto" w:fill="F8FAFC"/>
            <w:vAlign w:val="top"/>
          </w:tcPr>
          <w:p>
            <w:pPr>
              <w:spacing w:before="60" w:after="60"/>
            </w:pPr>
            <w:r>
              <w:rPr>
                <w:color w:val="475569"/>
                <w:sz w:val="20"/>
              </w:rPr>
              <w:t>DRV-01 to 08</w:t>
            </w:r>
          </w:p>
        </w:tc>
        <w:tc>
          <w:tcPr>
            <w:tcW w:type="dxa" w:w="3402"/>
            <w:shd w:val="clear" w:color="auto" w:fill="F8FAFC"/>
            <w:vAlign w:val="top"/>
          </w:tcPr>
          <w:p>
            <w:pPr>
              <w:spacing w:before="60" w:after="60"/>
            </w:pPr>
            <w:r>
              <w:rPr>
                <w:color w:val="475569"/>
                <w:sz w:val="20"/>
              </w:rPr>
              <w:t>Pre-trip, route, stops, POD, exception, rest, breakdown, end</w:t>
            </w:r>
          </w:p>
        </w:tc>
      </w:tr>
    </w:tbl>
    <w:p>
      <w:pPr>
        <w:spacing w:before="280" w:after="100"/>
        <w:pBdr>
          <w:bottom w:val="single" w:sz="8" w:space="0" w:color="0F172A"/>
        </w:pBdr>
      </w:pPr>
      <w:r>
        <w:rPr>
          <w:b/>
          <w:color w:val="0F172A"/>
          <w:sz w:val="32"/>
        </w:rPr>
        <w:t>The Tradeoff We Accepted</w:t>
      </w:r>
    </w:p>
    <w:p>
      <w:pPr>
        <w:spacing w:before="0" w:after="100"/>
      </w:pPr>
      <w:r>
        <w:rPr>
          <w:b w:val="0"/>
          <w:color w:val="475569"/>
          <w:sz w:val="21"/>
        </w:rPr>
        <w:t>By covering 30 screens, individual screens are presented in a representative state rather than exhaustively covering every interaction variant (empty states, skeleton loaders, error states for each input field). These interaction details are specified in the Design System documentation and will be fully implemented during the Hackathon phase.</w:t>
      </w:r>
    </w:p>
    <w:p>
      <w:pPr>
        <w:spacing w:before="120" w:after="120"/>
        <w:pBdr>
          <w:top w:val="single" w:sz="4" w:space="0" w:color="10B981"/>
          <w:left w:val="single" w:sz="24" w:space="4" w:color="10B981"/>
          <w:bottom w:val="single" w:sz="4" w:space="0" w:color="10B981"/>
          <w:right w:val="single" w:sz="4" w:space="0" w:color="10B981"/>
        </w:pBdr>
        <w:shd w:val="clear" w:color="auto" w:fill="F0FDF4"/>
        <w:ind w:left="240" w:right="120"/>
      </w:pPr>
      <w:r>
        <w:rPr>
          <w:color w:val="166534"/>
          <w:sz w:val="20"/>
        </w:rPr>
        <w:t>Judging Criterion Alignment: This tradeoff directly maximizes scores in Scope and Prioritization (15% weight) by demonstrating deliberate restraint, while simultaneously protecting the Problem Framing (25% weight) score by ensuring the complete delivery workflow is traceable end-to-end.</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Emberwolves  |  Waypoint Dispatch  |  Tech-Triathlon 2026 Designathon  |  Rootcode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