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drawing>
          <wp:inline xmlns:a="http://schemas.openxmlformats.org/drawingml/2006/main" xmlns:pic="http://schemas.openxmlformats.org/drawingml/2006/picture">
            <wp:extent cx="2926080" cy="2194560"/>
            <wp:docPr id="1" name="Picture 1"/>
            <wp:cNvGraphicFramePr>
              <a:graphicFrameLocks noChangeAspect="1"/>
            </wp:cNvGraphicFramePr>
            <a:graphic>
              <a:graphicData uri="http://schemas.openxmlformats.org/drawingml/2006/picture">
                <pic:pic>
                  <pic:nvPicPr>
                    <pic:cNvPr id="0" name="WILSY_OS_COVER_STACKED.png"/>
                    <pic:cNvPicPr/>
                  </pic:nvPicPr>
                  <pic:blipFill>
                    <a:blip r:embed="rId11"/>
                    <a:stretch>
                      <a:fillRect/>
                    </a:stretch>
                  </pic:blipFill>
                  <pic:spPr>
                    <a:xfrm>
                      <a:off x="0" y="0"/>
                      <a:ext cx="2926080" cy="2194560"/>
                    </a:xfrm>
                    <a:prstGeom prst="rect"/>
                  </pic:spPr>
                </pic:pic>
              </a:graphicData>
            </a:graphic>
          </wp:inline>
        </w:drawing>
      </w:r>
    </w:p>
    <w:p>
      <w:r>
        <w:br/>
      </w:r>
    </w:p>
    <w:p>
      <w:pPr>
        <w:jc w:val="center"/>
      </w:pPr>
      <w:r>
        <w:rPr>
          <w:rFonts w:ascii="Calibri" w:hAnsi="Calibri"/>
          <w:b/>
          <w:color w:val="0A1931"/>
          <w:sz w:val="44"/>
        </w:rPr>
        <w:t>Institutional Ratification</w:t>
        <w:br/>
        <w:t>Decision Record</w:t>
      </w:r>
    </w:p>
    <w:p>
      <w:pPr>
        <w:jc w:val="center"/>
      </w:pPr>
      <w:r>
        <w:rPr>
          <w:rFonts w:ascii="Calibri" w:hAnsi="Calibri"/>
          <w:color w:val="475569"/>
          <w:sz w:val="22"/>
        </w:rPr>
        <w:t>G64 — Practitioner Confidentiality &amp; Ethical-Wall Governance</w:t>
        <w:br/>
        <w:t>D01–D10 Attributable Decisions</w:t>
      </w:r>
    </w:p>
    <w:p>
      <w:r>
        <w:br/>
      </w:r>
    </w:p>
    <w:tbl>
      <w:tblPr>
        <w:tblStyle w:val="LightShading"/>
        <w:tblW w:type="auto" w:w="0"/>
        <w:tblLayout w:type="fixed"/>
        <w:tblLook w:firstColumn="1" w:firstRow="1" w:lastColumn="0" w:lastRow="0" w:noHBand="0" w:noVBand="1" w:val="04A0"/>
      </w:tblPr>
      <w:tblGrid>
        <w:gridCol w:w="2880"/>
        <w:gridCol w:w="6480"/>
      </w:tblGrid>
      <w:tr>
        <w:tc>
          <w:tcPr>
            <w:tcW w:type="dxa" w:w="4680"/>
            <w:vAlign w:val="center"/>
          </w:tcPr>
          <w:p>
            <w:r>
              <w:rPr>
                <w:rFonts w:ascii="Calibri" w:hAnsi="Calibri"/>
                <w:b/>
                <w:color w:val="0A1931"/>
                <w:sz w:val="18"/>
              </w:rPr>
              <w:t>Document Reference</w:t>
            </w:r>
          </w:p>
        </w:tc>
        <w:tc>
          <w:tcPr>
            <w:tcW w:type="dxa" w:w="4680"/>
            <w:vAlign w:val="center"/>
          </w:tcPr>
          <w:p>
            <w:r>
              <w:rPr>
                <w:rFonts w:ascii="Calibri" w:hAnsi="Calibri"/>
                <w:sz w:val="18"/>
              </w:rPr>
              <w:t>WILSY-OS-G64-2026-1028-FINAL-001</w:t>
            </w:r>
          </w:p>
        </w:tc>
      </w:tr>
      <w:tr>
        <w:tc>
          <w:tcPr>
            <w:tcW w:type="dxa" w:w="4680"/>
            <w:vAlign w:val="center"/>
          </w:tcPr>
          <w:p>
            <w:r>
              <w:rPr>
                <w:rFonts w:ascii="Calibri" w:hAnsi="Calibri"/>
                <w:b/>
                <w:color w:val="0A1931"/>
                <w:sz w:val="18"/>
              </w:rPr>
              <w:t>Contract Version</w:t>
            </w:r>
          </w:p>
        </w:tc>
        <w:tc>
          <w:tcPr>
            <w:tcW w:type="dxa" w:w="4680"/>
            <w:vAlign w:val="center"/>
          </w:tcPr>
          <w:p>
            <w:r>
              <w:rPr>
                <w:rFonts w:ascii="Calibri" w:hAnsi="Calibri"/>
                <w:sz w:val="18"/>
              </w:rPr>
              <w:t>v1.0.0-P47-R95-G62-APPROVED</w:t>
            </w:r>
          </w:p>
        </w:tc>
      </w:tr>
      <w:tr>
        <w:tc>
          <w:tcPr>
            <w:tcW w:type="dxa" w:w="4680"/>
            <w:vAlign w:val="center"/>
          </w:tcPr>
          <w:p>
            <w:r>
              <w:rPr>
                <w:rFonts w:ascii="Calibri" w:hAnsi="Calibri"/>
                <w:b/>
                <w:color w:val="0A1931"/>
                <w:sz w:val="18"/>
              </w:rPr>
              <w:t>Institution</w:t>
            </w:r>
          </w:p>
        </w:tc>
        <w:tc>
          <w:tcPr>
            <w:tcW w:type="dxa" w:w="4680"/>
            <w:vAlign w:val="center"/>
          </w:tcPr>
          <w:p>
            <w:r>
              <w:rPr>
                <w:rFonts w:ascii="Calibri" w:hAnsi="Calibri"/>
                <w:sz w:val="18"/>
              </w:rPr>
              <w:t>WILSY (Pty) Ltd — Reg 2024/617944/07 — Tax 9395759229</w:t>
            </w:r>
          </w:p>
        </w:tc>
      </w:tr>
      <w:tr>
        <w:tc>
          <w:tcPr>
            <w:tcW w:type="dxa" w:w="4680"/>
            <w:vAlign w:val="center"/>
          </w:tcPr>
          <w:p>
            <w:r>
              <w:rPr>
                <w:rFonts w:ascii="Calibri" w:hAnsi="Calibri"/>
                <w:b/>
                <w:color w:val="0A1931"/>
                <w:sz w:val="18"/>
              </w:rPr>
              <w:t>Brand Identity</w:t>
            </w:r>
          </w:p>
        </w:tc>
        <w:tc>
          <w:tcPr>
            <w:tcW w:type="dxa" w:w="4680"/>
            <w:vAlign w:val="center"/>
          </w:tcPr>
          <w:p>
            <w:r>
              <w:rPr>
                <w:rFonts w:ascii="Calibri" w:hAnsi="Calibri"/>
                <w:sz w:val="18"/>
              </w:rPr>
              <w:t>WILSY OS — Pure Emblem (Touching Lives removed) — Sovereign Legal &amp; Enterprise OS</w:t>
            </w:r>
          </w:p>
        </w:tc>
      </w:tr>
      <w:tr>
        <w:tc>
          <w:tcPr>
            <w:tcW w:type="dxa" w:w="4680"/>
            <w:vAlign w:val="center"/>
          </w:tcPr>
          <w:p>
            <w:r>
              <w:rPr>
                <w:rFonts w:ascii="Calibri" w:hAnsi="Calibri"/>
                <w:b/>
                <w:color w:val="0A1931"/>
                <w:sz w:val="18"/>
              </w:rPr>
              <w:t>Tenant Scope</w:t>
            </w:r>
          </w:p>
        </w:tc>
        <w:tc>
          <w:tcPr>
            <w:tcW w:type="dxa" w:w="4680"/>
            <w:vAlign w:val="center"/>
          </w:tcPr>
          <w:p>
            <w:r>
              <w:rPr>
                <w:rFonts w:ascii="Calibri" w:hAnsi="Calibri"/>
                <w:sz w:val="18"/>
              </w:rPr>
              <w:t>WILSYTENANT-4CD2FZ4O</w:t>
            </w:r>
          </w:p>
        </w:tc>
      </w:tr>
      <w:tr>
        <w:tc>
          <w:tcPr>
            <w:tcW w:type="dxa" w:w="4680"/>
            <w:vAlign w:val="center"/>
          </w:tcPr>
          <w:p>
            <w:r>
              <w:rPr>
                <w:rFonts w:ascii="Calibri" w:hAnsi="Calibri"/>
                <w:b/>
                <w:color w:val="0A1931"/>
                <w:sz w:val="18"/>
              </w:rPr>
              <w:t>Status</w:t>
            </w:r>
          </w:p>
        </w:tc>
        <w:tc>
          <w:tcPr>
            <w:tcW w:type="dxa" w:w="4680"/>
            <w:vAlign w:val="center"/>
          </w:tcPr>
          <w:p>
            <w:r>
              <w:rPr>
                <w:rFonts w:ascii="Calibri" w:hAnsi="Calibri"/>
                <w:sz w:val="18"/>
              </w:rPr>
              <w:t>APPROVED — Pending Electronic Signature</w:t>
            </w:r>
          </w:p>
        </w:tc>
      </w:tr>
      <w:tr>
        <w:tc>
          <w:tcPr>
            <w:tcW w:type="dxa" w:w="4680"/>
            <w:vAlign w:val="center"/>
          </w:tcPr>
          <w:p>
            <w:r>
              <w:rPr>
                <w:rFonts w:ascii="Calibri" w:hAnsi="Calibri"/>
                <w:b/>
                <w:color w:val="0A1931"/>
                <w:sz w:val="18"/>
              </w:rPr>
              <w:t>Date</w:t>
            </w:r>
          </w:p>
        </w:tc>
        <w:tc>
          <w:tcPr>
            <w:tcW w:type="dxa" w:w="4680"/>
            <w:vAlign w:val="center"/>
          </w:tcPr>
          <w:p>
            <w:r>
              <w:rPr>
                <w:rFonts w:ascii="Calibri" w:hAnsi="Calibri"/>
                <w:sz w:val="18"/>
              </w:rPr>
              <w:t>October 28, 2026</w:t>
            </w:r>
          </w:p>
        </w:tc>
      </w:tr>
    </w:tbl>
    <w:p>
      <w:r>
        <w:br w:type="page"/>
      </w:r>
    </w:p>
    <w:p>
      <w:pPr>
        <w:pStyle w:val="Heading1"/>
      </w:pPr>
      <w:r>
        <w:rPr>
          <w:rFonts w:ascii="Calibri" w:hAnsi="Calibri"/>
          <w:color w:val="0A1931"/>
          <w:sz w:val="32"/>
        </w:rPr>
        <w:t>1. Executive Summary</w:t>
      </w:r>
    </w:p>
    <w:p>
      <w:r>
        <w:t>This Decision Record formally documents the institution’s attributable decisions regarding practitioner confidentiality and ethical-wall governance controls D01 through D10. All ten controls have been reviewed and APPROVED by the authorized institutional authority. The record is now ready for electronic signature and independent verification.</w:t>
        <w:br/>
        <w:br/>
        <w:t>Brand Identity: The WILSY OS emblem — V with supporting hands encircled by sovereignty bands — is presented in its pure form without any text overlay. The parent company tagline “Touching Lives” is reserved exclusively for WILSY (Pty) Ltd and is intentionally excluded from the WILSY OS operating system letterhead, ensuring clear brand separation and Fortune 500-grade visual hierarchy.</w:t>
      </w:r>
    </w:p>
    <w:p>
      <w:pPr>
        <w:pStyle w:val="Heading1"/>
      </w:pPr>
      <w:r>
        <w:rPr>
          <w:rFonts w:ascii="Calibri" w:hAnsi="Calibri"/>
          <w:color w:val="0A1931"/>
          <w:sz w:val="32"/>
        </w:rPr>
        <w:t>2. Governing References</w:t>
      </w:r>
    </w:p>
    <w:tbl>
      <w:tblPr>
        <w:tblStyle w:val="LightList"/>
        <w:tblW w:type="auto" w:w="0"/>
        <w:tblLook w:firstColumn="1" w:firstRow="1" w:lastColumn="0" w:lastRow="0" w:noHBand="0" w:noVBand="1" w:val="04A0"/>
      </w:tblPr>
      <w:tblGrid>
        <w:gridCol w:w="4680"/>
        <w:gridCol w:w="4680"/>
      </w:tblGrid>
      <w:tr>
        <w:tc>
          <w:tcPr>
            <w:tcW w:type="dxa" w:w="4680"/>
          </w:tcPr>
          <w:p>
            <w:r>
              <w:rPr>
                <w:rFonts w:ascii="Calibri" w:hAnsi="Calibri"/>
                <w:b/>
                <w:sz w:val="18"/>
              </w:rPr>
              <w:t>Decision Template</w:t>
            </w:r>
          </w:p>
        </w:tc>
        <w:tc>
          <w:tcPr>
            <w:tcW w:type="dxa" w:w="4680"/>
          </w:tcPr>
          <w:p>
            <w:r>
              <w:rPr>
                <w:rFonts w:ascii="Calibri" w:hAnsi="Calibri"/>
                <w:sz w:val="18"/>
              </w:rPr>
              <w:t>[STRIPPED 73 bytes].md v2.1 — Fortune 500 Edition</w:t>
            </w:r>
          </w:p>
        </w:tc>
      </w:tr>
      <w:tr>
        <w:tc>
          <w:tcPr>
            <w:tcW w:type="dxa" w:w="4680"/>
          </w:tcPr>
          <w:p>
            <w:r>
              <w:rPr>
                <w:rFonts w:ascii="Calibri" w:hAnsi="Calibri"/>
                <w:b/>
                <w:sz w:val="18"/>
              </w:rPr>
              <w:t>Authority Contract</w:t>
            </w:r>
          </w:p>
        </w:tc>
        <w:tc>
          <w:tcPr>
            <w:tcW w:type="dxa" w:w="4680"/>
          </w:tcPr>
          <w:p>
            <w:r>
              <w:rPr>
                <w:rFonts w:ascii="Calibri" w:hAnsi="Calibri"/>
                <w:sz w:val="18"/>
              </w:rPr>
              <w:t>[STRIPPED 85 bytes].md v1.0.0-P47-R95-G62</w:t>
            </w:r>
          </w:p>
        </w:tc>
      </w:tr>
      <w:tr>
        <w:tc>
          <w:tcPr>
            <w:tcW w:type="dxa" w:w="4680"/>
          </w:tcPr>
          <w:p>
            <w:r>
              <w:rPr>
                <w:rFonts w:ascii="Calibri" w:hAnsi="Calibri"/>
                <w:b/>
                <w:sz w:val="18"/>
              </w:rPr>
              <w:t>Regulatory Evidence</w:t>
            </w:r>
          </w:p>
        </w:tc>
        <w:tc>
          <w:tcPr>
            <w:tcW w:type="dxa" w:w="4680"/>
          </w:tcPr>
          <w:p>
            <w:r>
              <w:rPr>
                <w:rFonts w:ascii="Calibri" w:hAnsi="Calibri"/>
                <w:sz w:val="18"/>
              </w:rPr>
              <w:t>CIPC COR14.1 / COR14.1A / COR15.1A / COR14.3_1 • IR 2026-070292 • SARS 9395759229</w:t>
            </w:r>
          </w:p>
        </w:tc>
      </w:tr>
      <w:tr>
        <w:tc>
          <w:tcPr>
            <w:tcW w:type="dxa" w:w="4680"/>
          </w:tcPr>
          <w:p>
            <w:r>
              <w:rPr>
                <w:rFonts w:ascii="Calibri" w:hAnsi="Calibri"/>
                <w:b/>
                <w:sz w:val="18"/>
              </w:rPr>
              <w:t>Tenant Binding</w:t>
            </w:r>
          </w:p>
        </w:tc>
        <w:tc>
          <w:tcPr>
            <w:tcW w:type="dxa" w:w="4680"/>
          </w:tcPr>
          <w:p>
            <w:r>
              <w:rPr>
                <w:rFonts w:ascii="Calibri" w:hAnsi="Calibri"/>
                <w:sz w:val="18"/>
              </w:rPr>
              <w:t>WILSYTENANT-4CD2FZ4O — canonical registry</w:t>
            </w:r>
          </w:p>
        </w:tc>
      </w:tr>
    </w:tbl>
    <w:p>
      <w:pPr>
        <w:pStyle w:val="Heading1"/>
      </w:pPr>
      <w:r>
        <w:rPr>
          <w:rFonts w:ascii="Calibri" w:hAnsi="Calibri"/>
          <w:color w:val="0A1931"/>
          <w:sz w:val="32"/>
        </w:rPr>
        <w:t>3. Institution and Authority — APPROVED</w:t>
      </w:r>
    </w:p>
    <w:p>
      <w:r>
        <w:t>Institution: WILSY (Pty) Ltd operating as WILSY OS</w:t>
        <w:br/>
        <w:t>Registration: 2024/617944/07 — CIPC</w:t>
        <w:br/>
        <w:t>Tax: 9395759229 — SARS</w:t>
        <w:br/>
        <w:t>Tenant: WILSYTENANT-4CD2FZ4O</w:t>
        <w:br/>
        <w:t>Operating Brand: WILSY OS — Sovereign Legal &amp; Enterprise Operating System</w:t>
        <w:br/>
        <w:t>Logo: Pure emblem (V + hands, 800x680, transparent) — Touching Lives removed per institutional direction</w:t>
        <w:br/>
        <w:t>Director: KHANYEZI, WILSON — ID 8811045971084 — 100% holder</w:t>
        <w:br/>
        <w:t>Status: All D01–D10 APPROVED — Pending E-Signature</w:t>
        <w:br/>
      </w:r>
    </w:p>
    <w:p>
      <w:pPr>
        <w:pStyle w:val="Heading1"/>
      </w:pPr>
      <w:r>
        <w:rPr>
          <w:rFonts w:ascii="Calibri" w:hAnsi="Calibri"/>
          <w:color w:val="0A1931"/>
          <w:sz w:val="32"/>
        </w:rPr>
        <w:t>4. Attributable Decisions D01–D10 — APPROVED</w:t>
      </w:r>
    </w:p>
    <w:p>
      <w:r>
        <w:rPr>
          <w:b/>
        </w:rPr>
        <w:t xml:space="preserve">All controls APPROVED per institutional instruction. Only e-signature pending. </w:t>
      </w:r>
      <w:r>
        <w:t>Implementation remains fail-closed until independent verification and live IAM certification pass Gate 2–4.</w:t>
      </w:r>
    </w:p>
    <w:p>
      <w:pPr>
        <w:pStyle w:val="Heading2"/>
      </w:pPr>
      <w:r>
        <w:rPr>
          <w:rFonts w:ascii="Calibri" w:hAnsi="Calibri"/>
          <w:color w:val="1E2A8A"/>
          <w:sz w:val="24"/>
        </w:rPr>
        <w:t>D01 — Reviewer eligibility and granting authorization role</w:t>
      </w:r>
    </w:p>
    <w:p>
      <w:pPr>
        <w:spacing w:after="280"/>
      </w:pPr>
      <w:r>
        <w:rPr>
          <w:b/>
        </w:rPr>
        <w:t xml:space="preserve">Disposition: </w:t>
      </w:r>
      <w:r>
        <w:rPr>
          <w:b/>
          <w:color w:val="166534"/>
        </w:rPr>
        <w:t>APPROVE</w:t>
      </w:r>
      <w:r>
        <w:br/>
        <w:t>Eligible reviewers defined, exclusions enforced, separation of duties maintained, canonical IAM issuer Python EOS, permission binding verified.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D02 — Separation of duties</w:t>
      </w:r>
    </w:p>
    <w:p>
      <w:pPr>
        <w:spacing w:after="280"/>
      </w:pPr>
      <w:r>
        <w:rPr>
          <w:b/>
        </w:rPr>
        <w:t xml:space="preserve">Disposition: </w:t>
      </w:r>
      <w:r>
        <w:rPr>
          <w:b/>
          <w:color w:val="166534"/>
        </w:rPr>
        <w:t>APPROVE</w:t>
      </w:r>
      <w:r>
        <w:br/>
        <w:t>Prohibited reviewer/target and reviewer/administrator combinations enforced via Python EOS authorization layer.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D03 — Authority for NO_WALL_REQUIRED</w:t>
      </w:r>
    </w:p>
    <w:p>
      <w:pPr>
        <w:spacing w:after="280"/>
      </w:pPr>
      <w:r>
        <w:rPr>
          <w:b/>
        </w:rPr>
        <w:t xml:space="preserve">Disposition: </w:t>
      </w:r>
      <w:r>
        <w:rPr>
          <w:b/>
          <w:color w:val="166534"/>
        </w:rPr>
        <w:t>APPROVE</w:t>
      </w:r>
      <w:r>
        <w:br/>
        <w:t>Authorized decision function documented, policy basis in institutional authority contract, self-review prohibited.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D04 — Authoritative wall policy and membership source</w:t>
      </w:r>
    </w:p>
    <w:p>
      <w:pPr>
        <w:spacing w:after="280"/>
      </w:pPr>
      <w:r>
        <w:rPr>
          <w:b/>
        </w:rPr>
        <w:t xml:space="preserve">Disposition: </w:t>
      </w:r>
      <w:r>
        <w:rPr>
          <w:b/>
          <w:color w:val="166534"/>
        </w:rPr>
        <w:t>APPROVE</w:t>
      </w:r>
      <w:r>
        <w:br/>
        <w:t>Canonical policy source Python EOS, membership from authoritative tenant registry, versioned, integrity-checked.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D05 — Acknowledgement provenance and effective enforcement</w:t>
      </w:r>
    </w:p>
    <w:p>
      <w:pPr>
        <w:spacing w:after="280"/>
      </w:pPr>
      <w:r>
        <w:rPr>
          <w:b/>
        </w:rPr>
        <w:t xml:space="preserve">Disposition: </w:t>
      </w:r>
      <w:r>
        <w:rPr>
          <w:b/>
          <w:color w:val="166534"/>
        </w:rPr>
        <w:t>APPROVE</w:t>
      </w:r>
      <w:r>
        <w:br/>
        <w:t>Acknowledgement actors defined, policy revision tracked, timestamps and proof required, runtime enforcement owned by Python EOS.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D06 — Emergency denial, revocation, and incident authority</w:t>
      </w:r>
    </w:p>
    <w:p>
      <w:pPr>
        <w:spacing w:after="280"/>
      </w:pPr>
      <w:r>
        <w:rPr>
          <w:b/>
        </w:rPr>
        <w:t xml:space="preserve">Disposition: </w:t>
      </w:r>
      <w:r>
        <w:rPr>
          <w:b/>
          <w:color w:val="166534"/>
        </w:rPr>
        <w:t>APPROVE</w:t>
      </w:r>
      <w:r>
        <w:br/>
        <w:t>Emergency actors narrowly scoped, immediate deny/revoke mechanism implemented, audit trail and incident owner assigned.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D07 — Maximum approval duration and review cadence</w:t>
      </w:r>
    </w:p>
    <w:p>
      <w:pPr>
        <w:spacing w:after="280"/>
      </w:pPr>
      <w:r>
        <w:rPr>
          <w:b/>
        </w:rPr>
        <w:t xml:space="preserve">Disposition: </w:t>
      </w:r>
      <w:r>
        <w:rPr>
          <w:b/>
          <w:color w:val="166534"/>
        </w:rPr>
        <w:t>APPROVE</w:t>
      </w:r>
      <w:r>
        <w:br/>
        <w:t>Maximum validity 12 months, quarterly review, expiry triggers automatic DENY, renewal requires re-approval.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D08 — Explicit-deny precedence</w:t>
      </w:r>
    </w:p>
    <w:p>
      <w:pPr>
        <w:spacing w:after="280"/>
      </w:pPr>
      <w:r>
        <w:rPr>
          <w:b/>
        </w:rPr>
        <w:t xml:space="preserve">Disposition: </w:t>
      </w:r>
      <w:r>
        <w:rPr>
          <w:b/>
          <w:color w:val="166534"/>
        </w:rPr>
        <w:t>APPROVE</w:t>
      </w:r>
      <w:r>
        <w:br/>
        <w:t>Ordering: conflict → review → wall → membership → expiry → revocation. Stale positive cannot override current denial.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D09 — Point-of-read revalidation and transaction boundaries</w:t>
      </w:r>
    </w:p>
    <w:p>
      <w:pPr>
        <w:spacing w:after="280"/>
      </w:pPr>
      <w:r>
        <w:rPr>
          <w:b/>
        </w:rPr>
        <w:t xml:space="preserve">Disposition: </w:t>
      </w:r>
      <w:r>
        <w:rPr>
          <w:b/>
          <w:color w:val="166534"/>
        </w:rPr>
        <w:t>APPROVE</w:t>
      </w:r>
      <w:r>
        <w:br/>
        <w:t>Revalidation immediately before confidential content reads, caller-owned transaction bound to exact scope.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pPr>
        <w:pStyle w:val="Heading2"/>
      </w:pPr>
      <w:r>
        <w:rPr>
          <w:rFonts w:ascii="Calibri" w:hAnsi="Calibri"/>
          <w:color w:val="1E2A8A"/>
          <w:sz w:val="24"/>
        </w:rPr>
        <w:t>D10 — Independent policy approval, rollout, and rollback ownership</w:t>
      </w:r>
    </w:p>
    <w:p>
      <w:pPr>
        <w:spacing w:after="280"/>
      </w:pPr>
      <w:r>
        <w:rPr>
          <w:b/>
        </w:rPr>
        <w:t xml:space="preserve">Disposition: </w:t>
      </w:r>
      <w:r>
        <w:rPr>
          <w:b/>
          <w:color w:val="166534"/>
        </w:rPr>
        <w:t>APPROVE</w:t>
      </w:r>
      <w:r>
        <w:br/>
        <w:t>Independent policy approver assigned, rollout and rollback owners defined, release gates documented. APPROVED.</w:t>
        <w:br/>
      </w:r>
      <w:r>
        <w:rPr>
          <w:b/>
        </w:rPr>
        <w:t xml:space="preserve">Effective: </w:t>
      </w:r>
      <w:r>
        <w:t xml:space="preserve">2026-10-28  •  </w:t>
      </w:r>
      <w:r>
        <w:rPr>
          <w:b/>
        </w:rPr>
        <w:t xml:space="preserve">Review: </w:t>
      </w:r>
      <w:r>
        <w:t xml:space="preserve">Quarterly  •  </w:t>
      </w:r>
      <w:r>
        <w:rPr>
          <w:b/>
        </w:rPr>
        <w:t xml:space="preserve">Expiry: </w:t>
      </w:r>
      <w:r>
        <w:t xml:space="preserve">12 months  •  </w:t>
      </w:r>
      <w:r>
        <w:rPr>
          <w:b/>
        </w:rPr>
        <w:t xml:space="preserve">Revocation: </w:t>
      </w:r>
      <w:r>
        <w:t>Immediate via Python EOS</w:t>
      </w:r>
    </w:p>
    <w:p>
      <w:r>
        <w:br w:type="page"/>
      </w:r>
    </w:p>
    <w:p>
      <w:pPr>
        <w:pStyle w:val="Heading1"/>
      </w:pPr>
      <w:r>
        <w:rPr>
          <w:rFonts w:ascii="Calibri" w:hAnsi="Calibri"/>
          <w:color w:val="0A1931"/>
          <w:sz w:val="32"/>
        </w:rPr>
        <w:t>5. Electronic Signature — Pending Your E-Signature</w:t>
      </w:r>
    </w:p>
    <w:p>
      <w:r>
        <w:t>This record is APPROVED and ready for your electronic signature. Upon signing, independent verification and live IAM certification will proceed.</w:t>
      </w:r>
    </w:p>
    <w:tbl>
      <w:tblPr>
        <w:tblStyle w:val="TableGrid"/>
        <w:tblW w:type="auto" w:w="0"/>
        <w:tblLook w:firstColumn="1" w:firstRow="1" w:lastColumn="0" w:lastRow="0" w:noHBand="0" w:noVBand="1" w:val="04A0"/>
      </w:tblPr>
      <w:tblGrid>
        <w:gridCol w:w="3168"/>
        <w:gridCol w:w="6192"/>
      </w:tblGrid>
      <w:tr>
        <w:tc>
          <w:tcPr>
            <w:tcW w:type="dxa" w:w="4680"/>
          </w:tcPr>
          <w:p>
            <w:r>
              <w:rPr>
                <w:rFonts w:ascii="Calibri" w:hAnsi="Calibri"/>
                <w:b/>
                <w:sz w:val="18"/>
              </w:rPr>
              <w:t>Institutional Approver</w:t>
            </w:r>
          </w:p>
        </w:tc>
        <w:tc>
          <w:tcPr>
            <w:tcW w:type="dxa" w:w="4680"/>
          </w:tcPr>
          <w:p>
            <w:r>
              <w:rPr>
                <w:rFonts w:ascii="Calibri" w:hAnsi="Calibri"/>
                <w:sz w:val="18"/>
              </w:rPr>
              <w:t>Wilson Khanyezi — Director — WILSY (Pty) Ltd — ID 8811045971084</w:t>
            </w:r>
          </w:p>
        </w:tc>
      </w:tr>
      <w:tr>
        <w:tc>
          <w:tcPr>
            <w:tcW w:type="dxa" w:w="4680"/>
          </w:tcPr>
          <w:p>
            <w:r>
              <w:rPr>
                <w:rFonts w:ascii="Calibri" w:hAnsi="Calibri"/>
                <w:b/>
                <w:sz w:val="18"/>
              </w:rPr>
              <w:t>Electronic Signature</w:t>
            </w:r>
          </w:p>
        </w:tc>
        <w:tc>
          <w:tcPr>
            <w:tcW w:type="dxa" w:w="4680"/>
          </w:tcPr>
          <w:p>
            <w:r>
              <w:rPr>
                <w:rFonts w:ascii="Calibri" w:hAnsi="Calibri"/>
                <w:sz w:val="18"/>
              </w:rPr>
              <w:t>[_______________________________]  Date: _________  Time (UTC): _________  Method: Verifiable E-Signature</w:t>
            </w:r>
          </w:p>
        </w:tc>
      </w:tr>
      <w:tr>
        <w:tc>
          <w:tcPr>
            <w:tcW w:type="dxa" w:w="4680"/>
          </w:tcPr>
          <w:p>
            <w:r>
              <w:rPr>
                <w:rFonts w:ascii="Calibri" w:hAnsi="Calibri"/>
                <w:b/>
                <w:sz w:val="18"/>
              </w:rPr>
              <w:t>Witness / Ratifier</w:t>
            </w:r>
          </w:p>
        </w:tc>
        <w:tc>
          <w:tcPr>
            <w:tcW w:type="dxa" w:w="4680"/>
          </w:tcPr>
          <w:p>
            <w:r>
              <w:rPr>
                <w:rFonts w:ascii="Calibri" w:hAnsi="Calibri"/>
                <w:sz w:val="18"/>
              </w:rPr>
              <w:t>Ray Ngilazi — Role: [To be confirmed] — Signature: [_______________________________] Date: _________</w:t>
            </w:r>
          </w:p>
        </w:tc>
      </w:tr>
      <w:tr>
        <w:tc>
          <w:tcPr>
            <w:tcW w:type="dxa" w:w="4680"/>
          </w:tcPr>
          <w:p>
            <w:r>
              <w:rPr>
                <w:rFonts w:ascii="Calibri" w:hAnsi="Calibri"/>
                <w:b/>
                <w:sz w:val="18"/>
              </w:rPr>
              <w:t>Independent Verifier</w:t>
            </w:r>
          </w:p>
        </w:tc>
        <w:tc>
          <w:tcPr>
            <w:tcW w:type="dxa" w:w="4680"/>
          </w:tcPr>
          <w:p>
            <w:r>
              <w:rPr>
                <w:rFonts w:ascii="Calibri" w:hAnsi="Calibri"/>
                <w:sz w:val="18"/>
              </w:rPr>
              <w:t>[Name] — Signature: [_______________________________] Date: _________ Locator: _________</w:t>
            </w:r>
          </w:p>
        </w:tc>
      </w:tr>
      <w:tr>
        <w:tc>
          <w:tcPr>
            <w:tcW w:type="dxa" w:w="4680"/>
          </w:tcPr>
          <w:p>
            <w:r>
              <w:rPr>
                <w:rFonts w:ascii="Calibri" w:hAnsi="Calibri"/>
                <w:b/>
                <w:sz w:val="18"/>
              </w:rPr>
              <w:t>Immutable Record Locator</w:t>
            </w:r>
          </w:p>
        </w:tc>
        <w:tc>
          <w:tcPr>
            <w:tcW w:type="dxa" w:w="4680"/>
          </w:tcPr>
          <w:p>
            <w:r>
              <w:rPr>
                <w:rFonts w:ascii="Calibri" w:hAnsi="Calibri"/>
                <w:sz w:val="18"/>
              </w:rPr>
              <w:t>[To be completed after formal execution and SHA-256 manifest update]</w:t>
            </w:r>
          </w:p>
        </w:tc>
      </w:tr>
    </w:tbl>
    <w:p>
      <w:pPr>
        <w:pStyle w:val="Heading1"/>
      </w:pPr>
      <w:r>
        <w:rPr>
          <w:rFonts w:ascii="Calibri" w:hAnsi="Calibri"/>
          <w:color w:val="0A1931"/>
          <w:sz w:val="32"/>
        </w:rPr>
        <w:t>6. Document Control — Fortune 500 Standard</w:t>
      </w:r>
    </w:p>
    <w:p>
      <w:r>
        <w:t>Design Standard: This Fortune 500 edition implements:</w:t>
        <w:br/>
        <w:t>• Visual priority: emblem first, then organization naming, then compliance information</w:t>
        <w:br/>
        <w:t>• White space paramount: 1" margins, 1.15 line spacing, double spacing between sections, no clutter</w:t>
        <w:br/>
        <w:t>• Brand consistency: Navy #0A1931, Slate #475569, limited palette, generous white space around letterhead elements</w:t>
        <w:br/>
        <w:t>• Typography: Calibri 11pt body, 16pt H1, 12pt H2 — McKinsey standard (Arial/Helvetica/Calibri, headlines 24-28pt scaled to document)</w:t>
        <w:br/>
        <w:t>• Well-aligned headers: emblem 0.85" left, text right-aligned, vertically centered, thin #E5E7EB divider lines, 0.35" header/footer distance</w:t>
        <w:br/>
        <w:t>• Table style: Light shading, navy header, consistent 8-9pt, vertical middle alignment</w:t>
        <w:br/>
        <w:t>• Status: APPROVED — Pending E-Signature — No loud red DRAFT banner — status communicated via professional document control</w:t>
        <w:br/>
        <w:t>• Logo: Pure emblem 800x680 transparent, Touching Lives removed, parent brand separation enforced</w:t>
        <w:br/>
      </w:r>
    </w:p>
    <w:sectPr w:rsidR="00FC693F" w:rsidRPr="0006063C" w:rsidSect="00034616">
      <w:headerReference w:type="default" r:id="rId9"/>
      <w:footerReference w:type="default" r:id="rId10"/>
      <w:pgSz w:w="12240" w:h="15840"/>
      <w:pgMar w:top="1440"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single" w:sz="4" w:space="0" w:color="E5E7EB"/>
      </w:tblBorders>
    </w:tblPr>
    <w:tblGrid>
      <w:gridCol w:w="6480"/>
      <w:gridCol w:w="2880"/>
    </w:tblGrid>
    <w:tr>
      <w:tc>
        <w:tcPr>
          <w:tcW w:type="dxa" w:w="4680"/>
          <w:vAlign w:val="center"/>
        </w:tcPr>
        <w:p>
          <w:pPr>
            <w:jc w:val="left"/>
          </w:pPr>
          <w:r>
            <w:rPr>
              <w:rFonts w:ascii="Calibri" w:hAnsi="Calibri"/>
              <w:color w:val="6B7280"/>
              <w:sz w:val="12"/>
            </w:rPr>
            <w:t>G64 Decision Record  •  APPROVED — Pending E-Signature  •  2026-10-28</w:t>
          </w:r>
        </w:p>
      </w:tc>
      <w:tc>
        <w:tcPr>
          <w:tcW w:type="dxa" w:w="4680"/>
          <w:vAlign w:val="center"/>
        </w:tcPr>
        <w:p>
          <w:pPr>
            <w:jc w:val="right"/>
          </w:pPr>
          <w:r>
            <w:rPr>
              <w:color w:val="6B7280"/>
              <w:sz w:val="12"/>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bottom w:val="single" w:sz="4" w:space="0" w:color="E5E7EB"/>
      </w:tblBorders>
    </w:tblPr>
    <w:tblGrid>
      <w:gridCol w:w="1440"/>
      <w:gridCol w:w="7920"/>
    </w:tblGrid>
    <w:tr>
      <w:tc>
        <w:tcPr>
          <w:tcW w:type="dxa" w:w="4680"/>
          <w:vAlign w:val="center"/>
        </w:tcPr>
        <w:p>
          <w:pPr>
            <w:spacing w:before="0" w:after="0"/>
            <w:jc w:val="left"/>
          </w:pPr>
          <w:r>
            <w:drawing>
              <wp:inline xmlns:a="http://schemas.openxmlformats.org/drawingml/2006/main" xmlns:pic="http://schemas.openxmlformats.org/drawingml/2006/picture">
                <wp:extent cx="777240" cy="659215"/>
                <wp:docPr id="1" name="Picture 1"/>
                <wp:cNvGraphicFramePr>
                  <a:graphicFrameLocks noChangeAspect="1"/>
                </wp:cNvGraphicFramePr>
                <a:graphic>
                  <a:graphicData uri="http://schemas.openxmlformats.org/drawingml/2006/picture">
                    <pic:pic>
                      <pic:nvPicPr>
                        <pic:cNvPr id="0" name="WILSY_OS_WORD_HEADER_EMBLEM.png"/>
                        <pic:cNvPicPr/>
                      </pic:nvPicPr>
                      <pic:blipFill>
                        <a:blip r:embed="rId1"/>
                        <a:stretch>
                          <a:fillRect/>
                        </a:stretch>
                      </pic:blipFill>
                      <pic:spPr>
                        <a:xfrm>
                          <a:off x="0" y="0"/>
                          <a:ext cx="777240" cy="659215"/>
                        </a:xfrm>
                        <a:prstGeom prst="rect"/>
                      </pic:spPr>
                    </pic:pic>
                  </a:graphicData>
                </a:graphic>
              </wp:inline>
            </w:drawing>
          </w:r>
        </w:p>
      </w:tc>
      <w:tc>
        <w:tcPr>
          <w:tcW w:type="dxa" w:w="4680"/>
          <w:vAlign w:val="center"/>
        </w:tcPr>
        <w:p>
          <w:pPr>
            <w:spacing w:before="0" w:after="0" w:line="240" w:lineRule="auto"/>
            <w:jc w:val="right"/>
          </w:pPr>
          <w:r>
            <w:rPr>
              <w:rFonts w:ascii="Calibri" w:hAnsi="Calibri"/>
              <w:b/>
              <w:color w:val="0A1931"/>
              <w:sz w:val="22"/>
            </w:rPr>
            <w:t>WILSY OS</w:t>
            <w:br/>
          </w:r>
          <w:r>
            <w:rPr>
              <w:rFonts w:ascii="Calibri" w:hAnsi="Calibri"/>
              <w:b w:val="0"/>
              <w:color w:val="64748B"/>
              <w:sz w:val="14"/>
            </w:rPr>
            <w:t>Sovereign Legal &amp; Enterprise Operating System</w:t>
            <w:br/>
          </w:r>
          <w:r>
            <w:rPr>
              <w:rFonts w:ascii="Calibri" w:hAnsi="Calibri"/>
              <w:b w:val="0"/>
              <w:color w:val="6B7280"/>
              <w:sz w:val="12"/>
            </w:rPr>
            <w:t>Reg 2024/617944/07  •  Tax 9395759229  •  Tenant WILSYTENANT-4CD2FZ4O</w:t>
            <w:br/>
          </w:r>
          <w:r>
            <w:rPr>
              <w:rFonts w:ascii="Calibri" w:hAnsi="Calibri"/>
              <w:b w:val="0"/>
              <w:color w:val="6B7280"/>
              <w:sz w:val="12"/>
            </w:rPr>
            <w:t>Contract v1.0.0-P47-R95-G62  •  Confidential Governance Record</w:t>
            <w:b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