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E7540" w:rsidP="00BE7540">
      <w:pPr>
        <w:spacing w:after="0"/>
        <w:jc w:val="center"/>
        <w:rPr>
          <w:b/>
          <w:color w:val="1AB394"/>
          <w:sz w:val="32"/>
          <w:szCs w:val="32"/>
          <w:u w:val="single"/>
        </w:rPr>
      </w:pPr>
      <w:r w:rsidRPr="00BE7540">
        <w:rPr>
          <w:b/>
          <w:color w:val="1AB394"/>
          <w:sz w:val="32"/>
          <w:szCs w:val="32"/>
          <w:u w:val="single"/>
        </w:rPr>
        <w:t>Lager</w:t>
      </w:r>
    </w:p>
    <w:p w:rsidR="00BE7540" w:rsidRDefault="00BE7540" w:rsidP="00BE7540">
      <w:pPr>
        <w:spacing w:after="0"/>
        <w:jc w:val="center"/>
        <w:rPr>
          <w:b/>
          <w:color w:val="1AB394"/>
          <w:sz w:val="32"/>
          <w:szCs w:val="32"/>
          <w:u w:val="single"/>
        </w:rPr>
      </w:pPr>
    </w:p>
    <w:p w:rsidR="00BE7540" w:rsidRDefault="00BE7540" w:rsidP="00BE7540">
      <w:pPr>
        <w:spacing w:after="0"/>
        <w:rPr>
          <w:b/>
          <w:color w:val="1AB394"/>
          <w:u w:val="single"/>
        </w:rPr>
      </w:pPr>
      <w:r>
        <w:rPr>
          <w:b/>
          <w:color w:val="1AB394"/>
          <w:u w:val="single"/>
        </w:rPr>
        <w:t>Einleitung:</w:t>
      </w:r>
    </w:p>
    <w:p w:rsidR="00BE7540" w:rsidRDefault="00BE7540" w:rsidP="00BE7540">
      <w:pPr>
        <w:spacing w:after="0"/>
        <w:rPr>
          <w:b/>
          <w:color w:val="1AB394"/>
          <w:u w:val="single"/>
        </w:rPr>
      </w:pPr>
    </w:p>
    <w:p w:rsidR="00BE7540" w:rsidRDefault="00BE7540" w:rsidP="00BE7540">
      <w:pPr>
        <w:spacing w:after="0"/>
      </w:pPr>
      <w:r>
        <w:t xml:space="preserve">Unter dem Menüpunkt "Lager" wird eine Übersicht über die aktuellen Lagerbestände </w:t>
      </w:r>
      <w:r w:rsidR="00EE2840">
        <w:t xml:space="preserve">und Lagerwerte </w:t>
      </w:r>
      <w:r>
        <w:t>angezeigt. Diese sind standardmäßig die Anfangswerte zu Beginn eines Planspiels. Wird eine XML-Datei mit den Ergebnissen einer vorhergegangenen Periode hochgeladen, werden die entsprechenden Lagerbestände übernommen und angezeigt.</w:t>
      </w:r>
      <w:r w:rsidR="000B7DB4">
        <w:t xml:space="preserve"> Die Lagerübersicht gliedert sich in die drei Unterübersichten </w:t>
      </w:r>
      <w:r w:rsidR="000B7DB4">
        <w:rPr>
          <w:color w:val="1AB394"/>
        </w:rPr>
        <w:t>Statistik</w:t>
      </w:r>
      <w:r w:rsidR="000B7DB4">
        <w:t xml:space="preserve">, </w:t>
      </w:r>
      <w:r w:rsidR="000B7DB4" w:rsidRPr="000B7DB4">
        <w:rPr>
          <w:color w:val="1AB394"/>
        </w:rPr>
        <w:t>Erzeugnisse</w:t>
      </w:r>
      <w:r w:rsidR="000B7DB4">
        <w:t xml:space="preserve"> und </w:t>
      </w:r>
      <w:r w:rsidR="000B7DB4" w:rsidRPr="000B7DB4">
        <w:rPr>
          <w:color w:val="1AB394"/>
        </w:rPr>
        <w:t>Kaufteile</w:t>
      </w:r>
      <w:r w:rsidR="000B7DB4">
        <w:t>. Um zu der Lagerübersicht zu navigieren, klicken Sie in der Navigationsleiste am linken Bildschirmrand auf den Eintrag "Lager".</w:t>
      </w:r>
      <w:r>
        <w:t xml:space="preserve"> </w:t>
      </w:r>
    </w:p>
    <w:p w:rsidR="002B03ED" w:rsidRDefault="002B03ED" w:rsidP="00BE7540">
      <w:pPr>
        <w:spacing w:after="0"/>
      </w:pPr>
    </w:p>
    <w:p w:rsidR="002B03ED" w:rsidRDefault="002B03ED" w:rsidP="00BE7540">
      <w:pPr>
        <w:spacing w:after="0"/>
      </w:pPr>
    </w:p>
    <w:p w:rsidR="002B03ED" w:rsidRDefault="002B03ED" w:rsidP="00BE7540">
      <w:pPr>
        <w:spacing w:after="0"/>
        <w:rPr>
          <w:b/>
          <w:color w:val="1AB394"/>
          <w:u w:val="single"/>
        </w:rPr>
      </w:pPr>
      <w:r w:rsidRPr="002B03ED">
        <w:rPr>
          <w:b/>
          <w:color w:val="1AB394"/>
          <w:u w:val="single"/>
        </w:rPr>
        <w:t>Unterübersicht Statistik:</w:t>
      </w:r>
    </w:p>
    <w:p w:rsidR="002B03ED" w:rsidRDefault="002B03ED" w:rsidP="00BE7540">
      <w:pPr>
        <w:spacing w:after="0"/>
        <w:rPr>
          <w:b/>
          <w:color w:val="1AB394"/>
          <w:u w:val="single"/>
        </w:rPr>
      </w:pPr>
    </w:p>
    <w:p w:rsidR="002B03ED" w:rsidRDefault="00D86E7F" w:rsidP="00BE7540">
      <w:pPr>
        <w:spacing w:after="0"/>
      </w:pPr>
      <w:r>
        <w:t xml:space="preserve">Die Unterübersicht </w:t>
      </w:r>
      <w:r w:rsidR="008C0B56">
        <w:t>"</w:t>
      </w:r>
      <w:r>
        <w:t>Statistik</w:t>
      </w:r>
      <w:r w:rsidR="008C0B56">
        <w:t>"</w:t>
      </w:r>
      <w:r>
        <w:t xml:space="preserve"> bietet grafische Darstellungen für die Lagermeng und die Lagerwerte von Kaufteilen und Erzeugnissen.</w:t>
      </w:r>
      <w:r w:rsidR="008C0B56">
        <w:t xml:space="preserve"> Navigiert man zu der Lagerübersicht, wird die Unterübersicht "Statistik" standartmäßig angezeigt.</w:t>
      </w:r>
    </w:p>
    <w:p w:rsidR="00D86E7F" w:rsidRDefault="00D86E7F" w:rsidP="00BE7540">
      <w:pPr>
        <w:spacing w:after="0"/>
      </w:pPr>
    </w:p>
    <w:p w:rsidR="00D86E7F" w:rsidRDefault="00D86E7F" w:rsidP="00BE7540">
      <w:pPr>
        <w:spacing w:after="0"/>
      </w:pPr>
      <w:r>
        <w:t xml:space="preserve">Im oberen Drittel befindet sich ein </w:t>
      </w:r>
      <w:proofErr w:type="spellStart"/>
      <w:r>
        <w:t>Pie</w:t>
      </w:r>
      <w:proofErr w:type="spellEnd"/>
      <w:r>
        <w:t>-Chart, der die Lagerwerte von allen Kaufteilen zusammen und allen Erzeugnissen zusammen gegenüberstellt. So kann man auf einen Blick sehen, wie das Verhältnis der Lagerwerte von Kaufteilen und Erzeugnissen ist</w:t>
      </w:r>
      <w:r w:rsidR="00EE2840">
        <w:t xml:space="preserve"> und bei Bedarf entsprechend handeln</w:t>
      </w:r>
      <w:r>
        <w:t>.</w:t>
      </w:r>
    </w:p>
    <w:p w:rsidR="00D93F55" w:rsidRDefault="00D93F55" w:rsidP="00BE7540">
      <w:pPr>
        <w:spacing w:after="0"/>
      </w:pPr>
    </w:p>
    <w:p w:rsidR="00D86E7F" w:rsidRDefault="00D93F55" w:rsidP="00BE7540">
      <w:pPr>
        <w:spacing w:after="0"/>
      </w:pPr>
      <w:r w:rsidRPr="00D93F55">
        <w:rPr>
          <w:noProof/>
          <w:color w:val="1AB394"/>
        </w:rPr>
        <w:drawing>
          <wp:inline distT="0" distB="0" distL="0" distR="0">
            <wp:extent cx="4019550" cy="2913123"/>
            <wp:effectExtent l="19050" t="19050" r="19050" b="20577"/>
            <wp:docPr id="5" name="Bild 3" descr="C:\Users\Admin\Desktop\manual\lager_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manual\lager_pi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131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1AB39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953" w:rsidRPr="00AB533B" w:rsidRDefault="008C2953" w:rsidP="00BE7540">
      <w:pPr>
        <w:spacing w:after="0"/>
        <w:rPr>
          <w:color w:val="7F7F7F" w:themeColor="text1" w:themeTint="80"/>
          <w:sz w:val="16"/>
          <w:szCs w:val="16"/>
        </w:rPr>
      </w:pPr>
      <w:proofErr w:type="spellStart"/>
      <w:r w:rsidRPr="00AB533B">
        <w:rPr>
          <w:color w:val="7F7F7F" w:themeColor="text1" w:themeTint="80"/>
          <w:sz w:val="16"/>
          <w:szCs w:val="16"/>
        </w:rPr>
        <w:t>Pie</w:t>
      </w:r>
      <w:proofErr w:type="spellEnd"/>
      <w:r w:rsidRPr="00AB533B">
        <w:rPr>
          <w:color w:val="7F7F7F" w:themeColor="text1" w:themeTint="80"/>
          <w:sz w:val="16"/>
          <w:szCs w:val="16"/>
        </w:rPr>
        <w:t>-Chart für die Lagerwerte</w:t>
      </w:r>
    </w:p>
    <w:p w:rsidR="00D93F55" w:rsidRDefault="00D93F55" w:rsidP="00BE7540">
      <w:pPr>
        <w:spacing w:after="0"/>
      </w:pPr>
    </w:p>
    <w:p w:rsidR="00D86E7F" w:rsidRPr="002B03ED" w:rsidRDefault="00D86E7F" w:rsidP="00BE7540">
      <w:pPr>
        <w:spacing w:after="0"/>
      </w:pPr>
      <w:r>
        <w:t>Darunter befinden sich zwei Spaltendi</w:t>
      </w:r>
      <w:r w:rsidR="008F6CC0">
        <w:t>agramme. Das O</w:t>
      </w:r>
      <w:r>
        <w:t xml:space="preserve">bere von beiden zeigt die Lagerwerte und Lagermengen pro Erzeugnis an. </w:t>
      </w:r>
      <w:r w:rsidR="008F6CC0">
        <w:t>Das Untere die Lagerwerte und Lagermengen für jedes Kaufteil.</w:t>
      </w:r>
      <w:r w:rsidR="008C0B56">
        <w:t xml:space="preserve"> Dies bietet die Möglichkeit herauszufinden, welche Kaufteile, bzw. Erzeugnisse im Speziellen einen hohen Lagerwert haben.</w:t>
      </w:r>
    </w:p>
    <w:p w:rsidR="002B03ED" w:rsidRDefault="002B03ED" w:rsidP="00BE7540">
      <w:pPr>
        <w:spacing w:after="0"/>
      </w:pPr>
    </w:p>
    <w:p w:rsidR="002B03ED" w:rsidRDefault="002B03ED" w:rsidP="00BE7540">
      <w:pPr>
        <w:spacing w:after="0"/>
      </w:pPr>
    </w:p>
    <w:p w:rsidR="002B03ED" w:rsidRDefault="002B03ED" w:rsidP="00BE7540">
      <w:pPr>
        <w:spacing w:after="0"/>
        <w:rPr>
          <w:b/>
          <w:color w:val="1AB394"/>
          <w:u w:val="single"/>
        </w:rPr>
      </w:pPr>
      <w:r w:rsidRPr="002B03ED">
        <w:rPr>
          <w:b/>
          <w:color w:val="1AB394"/>
          <w:u w:val="single"/>
        </w:rPr>
        <w:lastRenderedPageBreak/>
        <w:t>Unterübersichten Erzeugnisse und Kaufteile:</w:t>
      </w:r>
      <w:r w:rsidR="00D93F55" w:rsidRPr="00D93F55">
        <w:rPr>
          <w:b/>
          <w:noProof/>
          <w:color w:val="1AB394"/>
          <w:u w:val="single"/>
        </w:rPr>
        <w:t xml:space="preserve"> </w:t>
      </w:r>
    </w:p>
    <w:p w:rsidR="00EE2840" w:rsidRDefault="00EE2840" w:rsidP="00BE7540">
      <w:pPr>
        <w:spacing w:after="0"/>
        <w:rPr>
          <w:b/>
          <w:color w:val="1AB394"/>
          <w:u w:val="single"/>
        </w:rPr>
      </w:pPr>
    </w:p>
    <w:p w:rsidR="001A1FB7" w:rsidRDefault="008C2953" w:rsidP="00BE7540">
      <w:pPr>
        <w:spacing w:after="0"/>
      </w:pPr>
      <w:r>
        <w:t>Um zu den jeweiligen Unterübersichten zu navigieren klicken Sie auf die entsprechenden Tabs mit den Aufschriften "Erzeugnisse" und "Kaufteile".</w:t>
      </w:r>
      <w:r w:rsidR="00293A70">
        <w:t xml:space="preserve"> </w:t>
      </w:r>
    </w:p>
    <w:p w:rsidR="001A1FB7" w:rsidRDefault="001A1FB7" w:rsidP="00BE7540">
      <w:pPr>
        <w:spacing w:after="0"/>
      </w:pPr>
    </w:p>
    <w:p w:rsidR="001A1FB7" w:rsidRDefault="001A1FB7" w:rsidP="00BE7540">
      <w:pPr>
        <w:spacing w:after="0"/>
      </w:pPr>
      <w:r>
        <w:rPr>
          <w:noProof/>
        </w:rPr>
        <w:drawing>
          <wp:inline distT="0" distB="0" distL="0" distR="0">
            <wp:extent cx="3257550" cy="600075"/>
            <wp:effectExtent l="19050" t="0" r="0" b="0"/>
            <wp:docPr id="6" name="Bild 4" descr="C:\Users\Admin\Desktop\manual\ta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manual\tab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FB7" w:rsidRPr="00AB533B" w:rsidRDefault="001A1FB7" w:rsidP="00BE7540">
      <w:pPr>
        <w:spacing w:after="0"/>
        <w:rPr>
          <w:color w:val="7F7F7F" w:themeColor="text1" w:themeTint="80"/>
          <w:sz w:val="16"/>
          <w:szCs w:val="16"/>
        </w:rPr>
      </w:pPr>
      <w:r w:rsidRPr="00AB533B">
        <w:rPr>
          <w:color w:val="7F7F7F" w:themeColor="text1" w:themeTint="80"/>
          <w:sz w:val="16"/>
          <w:szCs w:val="16"/>
        </w:rPr>
        <w:t>Tabs</w:t>
      </w:r>
      <w:r w:rsidR="00AB533B" w:rsidRPr="00AB533B">
        <w:rPr>
          <w:color w:val="7F7F7F" w:themeColor="text1" w:themeTint="80"/>
          <w:sz w:val="16"/>
          <w:szCs w:val="16"/>
        </w:rPr>
        <w:t xml:space="preserve"> für die Na</w:t>
      </w:r>
      <w:r w:rsidRPr="00AB533B">
        <w:rPr>
          <w:color w:val="7F7F7F" w:themeColor="text1" w:themeTint="80"/>
          <w:sz w:val="16"/>
          <w:szCs w:val="16"/>
        </w:rPr>
        <w:t>vigation zu den entsprechenden Unterübersichten</w:t>
      </w:r>
    </w:p>
    <w:p w:rsidR="001A1FB7" w:rsidRDefault="001A1FB7" w:rsidP="00BE7540">
      <w:pPr>
        <w:spacing w:after="0"/>
      </w:pPr>
    </w:p>
    <w:p w:rsidR="00EE2840" w:rsidRDefault="00293A70" w:rsidP="00BE7540">
      <w:pPr>
        <w:spacing w:after="0"/>
      </w:pPr>
      <w:r>
        <w:t>Jede dieser Unterübersichten bietet für jedes Erzeugnis, bzw. jedes Kaufteil folgende Informationen in einer fünf-spaltigen Tabelle:</w:t>
      </w:r>
    </w:p>
    <w:p w:rsidR="008309C2" w:rsidRDefault="008309C2" w:rsidP="00BE7540">
      <w:pPr>
        <w:spacing w:after="0"/>
      </w:pPr>
    </w:p>
    <w:p w:rsidR="00293A70" w:rsidRDefault="00293A70" w:rsidP="00293A70">
      <w:pPr>
        <w:pStyle w:val="Listenabsatz"/>
        <w:numPr>
          <w:ilvl w:val="0"/>
          <w:numId w:val="1"/>
        </w:numPr>
        <w:spacing w:after="0"/>
      </w:pPr>
      <w:r>
        <w:t>Die ID des Erzeugnisses/Kaufteils</w:t>
      </w:r>
    </w:p>
    <w:p w:rsidR="00293A70" w:rsidRDefault="00293A70" w:rsidP="00293A70">
      <w:pPr>
        <w:pStyle w:val="Listenabsatz"/>
        <w:numPr>
          <w:ilvl w:val="0"/>
          <w:numId w:val="1"/>
        </w:numPr>
        <w:spacing w:after="0"/>
      </w:pPr>
      <w:r>
        <w:t>Ob das Erzeugnis/Kaufteil in verschiedenen Fahrrädern verbaut wird</w:t>
      </w:r>
    </w:p>
    <w:p w:rsidR="00293A70" w:rsidRDefault="00293A70" w:rsidP="00293A70">
      <w:pPr>
        <w:pStyle w:val="Listenabsatz"/>
        <w:numPr>
          <w:ilvl w:val="0"/>
          <w:numId w:val="1"/>
        </w:numPr>
        <w:spacing w:after="0"/>
      </w:pPr>
      <w:r>
        <w:t>Den aktuellen Teilewert pro Stück in Euro des jeweiligen Erzeugnisses/Kaufteils</w:t>
      </w:r>
    </w:p>
    <w:p w:rsidR="00293A70" w:rsidRDefault="00293A70" w:rsidP="00293A70">
      <w:pPr>
        <w:pStyle w:val="Listenabsatz"/>
        <w:numPr>
          <w:ilvl w:val="0"/>
          <w:numId w:val="1"/>
        </w:numPr>
        <w:spacing w:after="0"/>
      </w:pPr>
      <w:r>
        <w:t>Die Lagermenge in Stück des Erzeugnisses/Kaufteils</w:t>
      </w:r>
    </w:p>
    <w:p w:rsidR="00293A70" w:rsidRPr="008C2953" w:rsidRDefault="008C0FCA" w:rsidP="00293A70">
      <w:pPr>
        <w:pStyle w:val="Listenabsatz"/>
        <w:numPr>
          <w:ilvl w:val="0"/>
          <w:numId w:val="1"/>
        </w:numPr>
        <w:spacing w:after="0"/>
      </w:pPr>
      <w:r>
        <w:t>Den gesamten Lagerwert des Erzeugnisses/Kaufteils (Produkt aus Lagermenge und Teilewert)</w:t>
      </w:r>
      <w:r w:rsidR="00B014AE">
        <w:t xml:space="preserve"> in Euro</w:t>
      </w:r>
    </w:p>
    <w:sectPr w:rsidR="00293A70" w:rsidRPr="008C29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B2C93"/>
    <w:multiLevelType w:val="hybridMultilevel"/>
    <w:tmpl w:val="A08CAA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E7540"/>
    <w:rsid w:val="000B7DB4"/>
    <w:rsid w:val="001A1FB7"/>
    <w:rsid w:val="00293A70"/>
    <w:rsid w:val="002B03ED"/>
    <w:rsid w:val="008309C2"/>
    <w:rsid w:val="008C0B56"/>
    <w:rsid w:val="008C0FCA"/>
    <w:rsid w:val="008C2953"/>
    <w:rsid w:val="008F6CC0"/>
    <w:rsid w:val="00AB533B"/>
    <w:rsid w:val="00B014AE"/>
    <w:rsid w:val="00BE7540"/>
    <w:rsid w:val="00D86E7F"/>
    <w:rsid w:val="00D93F55"/>
    <w:rsid w:val="00EC19AE"/>
    <w:rsid w:val="00EE2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3F5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93A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2016-01-08T15:56:00Z</dcterms:created>
  <dcterms:modified xsi:type="dcterms:W3CDTF">2016-01-08T16:39:00Z</dcterms:modified>
</cp:coreProperties>
</file>