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94"/>
        <w:gridCol w:w="4394"/>
      </w:tblGrid>
      <w:tr>
        <w:tc>
          <w:tcPr>
            <w:tcW w:type="dxa" w:w="4394"/>
          </w:tcPr>
          <w:p>
            <w:pPr>
              <w:jc w:val="center"/>
            </w:pPr>
            <w:r/>
            <w:r>
              <w:rPr>
                <w:rFonts w:ascii="Times New Roman" w:hAnsi="Times New Roman"/>
                <w:b/>
                <w:sz w:val="22"/>
              </w:rPr>
              <w:t>UNIVERSITE DE YAOUNDE I</w:t>
            </w:r>
          </w:p>
        </w:tc>
        <w:tc>
          <w:tcPr>
            <w:tcW w:type="dxa" w:w="4394"/>
          </w:tcPr>
          <w:p>
            <w:pPr>
              <w:jc w:val="center"/>
            </w:pPr>
            <w:r/>
            <w:r>
              <w:rPr>
                <w:rFonts w:ascii="Times New Roman" w:hAnsi="Times New Roman"/>
                <w:b/>
                <w:sz w:val="22"/>
              </w:rPr>
              <w:t>UNIVERSITY OF YAOUNDE I</w:t>
            </w:r>
          </w:p>
        </w:tc>
      </w:tr>
      <w:tr>
        <w:tc>
          <w:tcPr>
            <w:tcW w:type="dxa" w:w="4394"/>
          </w:tcPr>
          <w:p>
            <w:pPr>
              <w:jc w:val="center"/>
            </w:pPr>
            <w:r/>
            <w:r>
              <w:rPr>
                <w:rFonts w:ascii="Times New Roman" w:hAnsi="Times New Roman"/>
                <w:sz w:val="22"/>
              </w:rPr>
              <w:t>ECOLE NATIONALE SUPERIEURE POLYTECHNIQUE DE YAOUNDE</w:t>
            </w:r>
          </w:p>
        </w:tc>
        <w:tc>
          <w:tcPr>
            <w:tcW w:type="dxa" w:w="4394"/>
          </w:tcPr>
          <w:p>
            <w:pPr>
              <w:jc w:val="center"/>
            </w:pPr>
            <w:r/>
            <w:r>
              <w:rPr>
                <w:rFonts w:ascii="Times New Roman" w:hAnsi="Times New Roman"/>
                <w:sz w:val="22"/>
              </w:rPr>
              <w:t>NATIONAL ADVANCED SCHOOL OF ENGINEERING OF YAOUNDE</w:t>
            </w:r>
          </w:p>
        </w:tc>
      </w:tr>
      <w:tr>
        <w:tc>
          <w:tcPr>
            <w:tcW w:type="dxa" w:w="4394"/>
          </w:tcPr>
          <w:p>
            <w:pPr>
              <w:jc w:val="center"/>
            </w:pPr>
            <w:r/>
            <w:r>
              <w:rPr>
                <w:rFonts w:ascii="Times New Roman" w:hAnsi="Times New Roman"/>
                <w:sz w:val="22"/>
              </w:rPr>
              <w:t>DEPARTEMENT DE GENIE INFORMATIQUE</w:t>
            </w:r>
          </w:p>
        </w:tc>
        <w:tc>
          <w:tcPr>
            <w:tcW w:type="dxa" w:w="4394"/>
          </w:tcPr>
          <w:p>
            <w:pPr>
              <w:jc w:val="center"/>
            </w:pPr>
            <w:r/>
            <w:r>
              <w:rPr>
                <w:rFonts w:ascii="Times New Roman" w:hAnsi="Times New Roman"/>
                <w:sz w:val="22"/>
              </w:rPr>
              <w:t>DEPARTMENT OF COMPUTER ENGINEERING</w:t>
            </w:r>
          </w:p>
        </w:tc>
      </w:tr>
      <w:tr>
        <w:tc>
          <w:tcPr>
            <w:tcW w:type="dxa" w:w="4394"/>
          </w:tcPr>
          <w:p>
            <w:pPr>
              <w:jc w:val="center"/>
            </w:pPr>
            <w:r/>
            <w:r>
              <w:rPr>
                <w:rFonts w:ascii="Times New Roman" w:hAnsi="Times New Roman"/>
                <w:sz w:val="22"/>
              </w:rPr>
              <w:t>INSTITUT SUPERIEUR KEYCE INFORMATIQUE &amp; INTELLIGENCE ARTIFICIELLE</w:t>
            </w:r>
          </w:p>
        </w:tc>
        <w:tc>
          <w:tcPr>
            <w:tcW w:type="dxa" w:w="4394"/>
          </w:tcPr>
          <w:p>
            <w:pPr>
              <w:jc w:val="center"/>
            </w:pPr>
            <w:r/>
            <w:r>
              <w:rPr>
                <w:rFonts w:ascii="Times New Roman" w:hAnsi="Times New Roman"/>
                <w:sz w:val="22"/>
              </w:rPr>
              <w:t>HIGHER INSTITUTE KEYCE OF COMPUTER SCIENCE AND ARTIFICIAL INTELLIGENCE</w:t>
            </w:r>
          </w:p>
        </w:tc>
      </w:tr>
    </w:tbl>
    <w:p>
      <w:pPr>
        <w:jc w:val="both"/>
      </w:pPr>
      <w:r>
        <w:rPr>
          <w:rFonts w:ascii="Times New Roman" w:hAnsi="Times New Roman"/>
          <w:b w:val="0"/>
          <w:i w:val="0"/>
          <w:sz w:val="24"/>
        </w:rPr>
      </w:r>
    </w:p>
    <w:p>
      <w:pPr>
        <w:jc w:val="center"/>
      </w:pPr>
      <w:r>
        <w:rPr>
          <w:rFonts w:ascii="Times New Roman" w:hAnsi="Times New Roman"/>
          <w:b w:val="0"/>
          <w:i/>
          <w:sz w:val="20"/>
        </w:rPr>
        <w:t>[Insérer ici : logo ENSPY (gauche) — logo Université de Yaoundé I (droite)]</w:t>
      </w:r>
    </w:p>
    <w:p>
      <w:pPr>
        <w:jc w:val="both"/>
      </w:pPr>
      <w:r>
        <w:rPr>
          <w:rFonts w:ascii="Times New Roman" w:hAnsi="Times New Roman"/>
          <w:b w:val="0"/>
          <w:i w:val="0"/>
          <w:sz w:val="24"/>
        </w:rPr>
      </w:r>
    </w:p>
    <w:p>
      <w:pPr>
        <w:jc w:val="center"/>
      </w:pPr>
      <w:r>
        <w:rPr>
          <w:rFonts w:ascii="Times New Roman" w:hAnsi="Times New Roman"/>
          <w:b/>
          <w:i w:val="0"/>
          <w:sz w:val="30"/>
        </w:rPr>
        <w:t>La médiation numérique du patrimoine des chefferies camerounaises : cas de la Maison Foudjem (Fondation Jean Félicien Gacha)</w:t>
      </w:r>
    </w:p>
    <w:p>
      <w:pPr>
        <w:jc w:val="both"/>
      </w:pPr>
      <w:r>
        <w:rPr>
          <w:rFonts w:ascii="Times New Roman" w:hAnsi="Times New Roman"/>
          <w:b w:val="0"/>
          <w:i w:val="0"/>
          <w:sz w:val="24"/>
        </w:rPr>
      </w:r>
    </w:p>
    <w:p>
      <w:pPr>
        <w:jc w:val="center"/>
      </w:pPr>
      <w:r>
        <w:rPr>
          <w:rFonts w:ascii="Times New Roman" w:hAnsi="Times New Roman"/>
          <w:b/>
          <w:i w:val="0"/>
          <w:sz w:val="26"/>
        </w:rPr>
        <w:t>Rapport de fin d'études</w:t>
      </w:r>
    </w:p>
    <w:p>
      <w:pPr>
        <w:jc w:val="both"/>
      </w:pPr>
      <w:r>
        <w:rPr>
          <w:rFonts w:ascii="Times New Roman" w:hAnsi="Times New Roman"/>
          <w:b w:val="0"/>
          <w:i w:val="0"/>
          <w:sz w:val="24"/>
        </w:rPr>
      </w:r>
    </w:p>
    <w:p>
      <w:pPr>
        <w:jc w:val="center"/>
      </w:pPr>
      <w:r>
        <w:rPr>
          <w:rFonts w:ascii="Times New Roman" w:hAnsi="Times New Roman"/>
          <w:b w:val="0"/>
          <w:i w:val="0"/>
          <w:sz w:val="24"/>
        </w:rPr>
        <w:t>Présenté et soutenu par :</w:t>
      </w:r>
    </w:p>
    <w:p>
      <w:pPr>
        <w:jc w:val="center"/>
      </w:pPr>
      <w:r>
        <w:rPr>
          <w:rFonts w:ascii="Times New Roman" w:hAnsi="Times New Roman"/>
          <w:b/>
          <w:i w:val="0"/>
          <w:sz w:val="26"/>
        </w:rPr>
        <w:t>NANFACK [Prénom à compléter]</w:t>
      </w:r>
    </w:p>
    <w:p>
      <w:pPr>
        <w:jc w:val="both"/>
      </w:pPr>
      <w:r>
        <w:rPr>
          <w:rFonts w:ascii="Times New Roman" w:hAnsi="Times New Roman"/>
          <w:b w:val="0"/>
          <w:i w:val="0"/>
          <w:sz w:val="24"/>
        </w:rPr>
      </w:r>
    </w:p>
    <w:p>
      <w:pPr>
        <w:jc w:val="center"/>
      </w:pPr>
      <w:r>
        <w:rPr>
          <w:rFonts w:ascii="Times New Roman" w:hAnsi="Times New Roman"/>
          <w:b w:val="0"/>
          <w:i w:val="0"/>
          <w:sz w:val="24"/>
        </w:rPr>
        <w:t>En vue de l'obtention du</w:t>
      </w:r>
    </w:p>
    <w:p>
      <w:pPr>
        <w:jc w:val="center"/>
      </w:pPr>
      <w:r>
        <w:rPr>
          <w:rFonts w:ascii="Times New Roman" w:hAnsi="Times New Roman"/>
          <w:b/>
          <w:i w:val="0"/>
          <w:sz w:val="24"/>
        </w:rPr>
        <w:t>Diplôme de licence en génie informatique</w:t>
      </w:r>
    </w:p>
    <w:p>
      <w:pPr>
        <w:jc w:val="center"/>
      </w:pPr>
      <w:r>
        <w:rPr>
          <w:rFonts w:ascii="Times New Roman" w:hAnsi="Times New Roman"/>
          <w:b w:val="0"/>
          <w:i w:val="0"/>
          <w:sz w:val="24"/>
        </w:rPr>
        <w:t>Option : Génie logiciel et intelligence artificielle</w:t>
      </w:r>
    </w:p>
    <w:p>
      <w:pPr>
        <w:jc w:val="both"/>
      </w:pPr>
      <w:r>
        <w:rPr>
          <w:rFonts w:ascii="Times New Roman" w:hAnsi="Times New Roman"/>
          <w:b w:val="0"/>
          <w:i w:val="0"/>
          <w:sz w:val="24"/>
        </w:rPr>
      </w:r>
    </w:p>
    <w:p>
      <w:pPr>
        <w:jc w:val="center"/>
      </w:pPr>
      <w:r>
        <w:rPr>
          <w:rFonts w:ascii="Times New Roman" w:hAnsi="Times New Roman"/>
          <w:b w:val="0"/>
          <w:i w:val="0"/>
          <w:sz w:val="24"/>
        </w:rPr>
        <w:t>Sous l'encadrement de :</w:t>
      </w:r>
    </w:p>
    <w:p>
      <w:pPr>
        <w:jc w:val="center"/>
      </w:pPr>
      <w:r>
        <w:rPr>
          <w:rFonts w:ascii="Times New Roman" w:hAnsi="Times New Roman"/>
          <w:b/>
          <w:i w:val="0"/>
          <w:sz w:val="24"/>
        </w:rPr>
        <w:t>Ing. Goudjou Blondon, Encadreur académique</w:t>
      </w:r>
    </w:p>
    <w:p>
      <w:pPr>
        <w:jc w:val="center"/>
      </w:pPr>
      <w:r>
        <w:rPr>
          <w:rFonts w:ascii="Times New Roman" w:hAnsi="Times New Roman"/>
          <w:b/>
          <w:i w:val="0"/>
          <w:sz w:val="24"/>
        </w:rPr>
        <w:t>Ing. Adrien Ghomsi, Encadreur professionnel</w:t>
      </w:r>
    </w:p>
    <w:p>
      <w:pPr>
        <w:jc w:val="both"/>
      </w:pPr>
      <w:r>
        <w:rPr>
          <w:rFonts w:ascii="Times New Roman" w:hAnsi="Times New Roman"/>
          <w:b w:val="0"/>
          <w:i w:val="0"/>
          <w:sz w:val="24"/>
        </w:rPr>
      </w:r>
    </w:p>
    <w:p>
      <w:pPr>
        <w:jc w:val="center"/>
      </w:pPr>
      <w:r>
        <w:rPr>
          <w:rFonts w:ascii="Times New Roman" w:hAnsi="Times New Roman"/>
          <w:b w:val="0"/>
          <w:i w:val="0"/>
          <w:sz w:val="24"/>
        </w:rPr>
        <w:t>Devant le jury composé de :</w:t>
      </w:r>
    </w:p>
    <w:p>
      <w:pPr>
        <w:jc w:val="center"/>
      </w:pPr>
      <w:r>
        <w:rPr>
          <w:rFonts w:ascii="Times New Roman" w:hAnsi="Times New Roman"/>
          <w:b w:val="0"/>
          <w:i w:val="0"/>
          <w:sz w:val="22"/>
        </w:rPr>
        <w:t>Président : Prénom et Nom, Grade</w:t>
      </w:r>
    </w:p>
    <w:p>
      <w:pPr>
        <w:jc w:val="center"/>
      </w:pPr>
      <w:r>
        <w:rPr>
          <w:rFonts w:ascii="Times New Roman" w:hAnsi="Times New Roman"/>
          <w:b w:val="0"/>
          <w:i w:val="0"/>
          <w:sz w:val="22"/>
        </w:rPr>
        <w:t>Rapporteur : Prénom et Nom, Grade</w:t>
      </w:r>
    </w:p>
    <w:p>
      <w:pPr>
        <w:jc w:val="center"/>
      </w:pPr>
      <w:r>
        <w:rPr>
          <w:rFonts w:ascii="Times New Roman" w:hAnsi="Times New Roman"/>
          <w:b w:val="0"/>
          <w:i w:val="0"/>
          <w:sz w:val="22"/>
        </w:rPr>
        <w:t>Membres : Prénom et Nom, Grade</w:t>
      </w:r>
    </w:p>
    <w:p>
      <w:pPr>
        <w:jc w:val="center"/>
      </w:pPr>
      <w:r>
        <w:rPr>
          <w:rFonts w:ascii="Times New Roman" w:hAnsi="Times New Roman"/>
          <w:b w:val="0"/>
          <w:i w:val="0"/>
          <w:sz w:val="22"/>
        </w:rPr>
        <w:t>Invité : Prénom et Nom, Titre ou fonction</w:t>
      </w:r>
    </w:p>
    <w:p>
      <w:pPr>
        <w:jc w:val="both"/>
      </w:pPr>
      <w:r>
        <w:rPr>
          <w:rFonts w:ascii="Times New Roman" w:hAnsi="Times New Roman"/>
          <w:b w:val="0"/>
          <w:i w:val="0"/>
          <w:sz w:val="24"/>
        </w:rPr>
      </w:r>
    </w:p>
    <w:p>
      <w:pPr>
        <w:jc w:val="center"/>
      </w:pPr>
      <w:r>
        <w:rPr>
          <w:rFonts w:ascii="Times New Roman" w:hAnsi="Times New Roman"/>
          <w:b w:val="0"/>
          <w:i w:val="0"/>
          <w:sz w:val="24"/>
        </w:rPr>
        <w:t>Année académique : 2025-2026</w:t>
      </w:r>
    </w:p>
    <w:p>
      <w:pPr>
        <w:jc w:val="center"/>
      </w:pPr>
      <w:r>
        <w:rPr>
          <w:rFonts w:ascii="Times New Roman" w:hAnsi="Times New Roman"/>
          <w:b w:val="0"/>
          <w:i w:val="0"/>
          <w:sz w:val="24"/>
        </w:rPr>
        <w:t>Date de la soutenance : ……………………</w:t>
      </w:r>
    </w:p>
    <w:p>
      <w:r>
        <w:br w:type="page"/>
      </w:r>
    </w:p>
    <w:p>
      <w:pPr>
        <w:jc w:val="both"/>
      </w:pPr>
      <w:r>
        <w:rPr>
          <w:rFonts w:ascii="Times New Roman" w:hAnsi="Times New Roman"/>
          <w:b w:val="0"/>
          <w:i w:val="0"/>
          <w:sz w:val="24"/>
        </w:rPr>
      </w:r>
    </w:p>
    <w:p>
      <w:pPr>
        <w:jc w:val="center"/>
      </w:pPr>
      <w:r>
        <w:rPr>
          <w:rFonts w:ascii="Times New Roman" w:hAnsi="Times New Roman"/>
          <w:b w:val="0"/>
          <w:i/>
          <w:sz w:val="20"/>
        </w:rPr>
        <w:t>[LOGO ENSPY]     [LOGO Université de Yaoundé I]     [LOGO KEYCE INFORMATIQUE]     [LOGO Fondation Jean Félicien Gacha]</w:t>
      </w:r>
    </w:p>
    <w:p>
      <w:pPr>
        <w:jc w:val="both"/>
      </w:pPr>
      <w:r>
        <w:rPr>
          <w:rFonts w:ascii="Times New Roman" w:hAnsi="Times New Roman"/>
          <w:b w:val="0"/>
          <w:i w:val="0"/>
          <w:sz w:val="24"/>
        </w:rPr>
      </w:r>
    </w:p>
    <w:p>
      <w:pPr>
        <w:jc w:val="both"/>
      </w:pPr>
      <w:r>
        <w:rPr>
          <w:rFonts w:ascii="Times New Roman" w:hAnsi="Times New Roman"/>
          <w:b w:val="0"/>
          <w:i w:val="0"/>
          <w:sz w:val="24"/>
        </w:rPr>
      </w:r>
    </w:p>
    <w:p>
      <w:pPr>
        <w:jc w:val="center"/>
      </w:pPr>
      <w:r>
        <w:rPr>
          <w:rFonts w:ascii="Times New Roman" w:hAnsi="Times New Roman"/>
          <w:b/>
          <w:i w:val="0"/>
          <w:sz w:val="30"/>
        </w:rPr>
        <w:t>La médiation numérique du patrimoine des chefferies camerounaises : cas de la Maison Foudjem (Fondation Jean Félicien Gacha)</w:t>
      </w:r>
    </w:p>
    <w:p>
      <w:pPr>
        <w:jc w:val="both"/>
      </w:pPr>
      <w:r>
        <w:rPr>
          <w:rFonts w:ascii="Times New Roman" w:hAnsi="Times New Roman"/>
          <w:b w:val="0"/>
          <w:i w:val="0"/>
          <w:sz w:val="24"/>
        </w:rPr>
      </w:r>
    </w:p>
    <w:p>
      <w:pPr>
        <w:jc w:val="both"/>
      </w:pPr>
      <w:r>
        <w:rPr>
          <w:rFonts w:ascii="Times New Roman" w:hAnsi="Times New Roman"/>
          <w:b w:val="0"/>
          <w:i w:val="0"/>
          <w:sz w:val="24"/>
        </w:rPr>
      </w:r>
    </w:p>
    <w:p>
      <w:pPr>
        <w:jc w:val="center"/>
      </w:pPr>
      <w:r>
        <w:rPr>
          <w:rFonts w:ascii="Times New Roman" w:hAnsi="Times New Roman"/>
          <w:b w:val="0"/>
          <w:i w:val="0"/>
          <w:sz w:val="24"/>
        </w:rPr>
        <w:t>Rapport en vue de l'obtention du diplôme de :</w:t>
      </w:r>
    </w:p>
    <w:p>
      <w:pPr>
        <w:jc w:val="center"/>
      </w:pPr>
      <w:r>
        <w:rPr>
          <w:rFonts w:ascii="Times New Roman" w:hAnsi="Times New Roman"/>
          <w:b/>
          <w:i w:val="0"/>
          <w:sz w:val="26"/>
        </w:rPr>
        <w:t>Licence en génie informatique</w:t>
      </w:r>
    </w:p>
    <w:p>
      <w:pPr>
        <w:jc w:val="center"/>
      </w:pPr>
      <w:r>
        <w:rPr>
          <w:rFonts w:ascii="Times New Roman" w:hAnsi="Times New Roman"/>
          <w:b w:val="0"/>
          <w:i w:val="0"/>
          <w:sz w:val="24"/>
        </w:rPr>
        <w:t>Option : Génie logiciel et intelligence artificielle</w:t>
      </w:r>
    </w:p>
    <w:p>
      <w:pPr>
        <w:jc w:val="both"/>
      </w:pPr>
      <w:r>
        <w:rPr>
          <w:rFonts w:ascii="Times New Roman" w:hAnsi="Times New Roman"/>
          <w:b w:val="0"/>
          <w:i w:val="0"/>
          <w:sz w:val="24"/>
        </w:rPr>
      </w:r>
    </w:p>
    <w:p>
      <w:pPr>
        <w:jc w:val="center"/>
      </w:pPr>
      <w:r>
        <w:rPr>
          <w:rFonts w:ascii="Times New Roman" w:hAnsi="Times New Roman"/>
          <w:b w:val="0"/>
          <w:i w:val="0"/>
          <w:sz w:val="24"/>
        </w:rPr>
        <w:t>Présenté par :</w:t>
      </w:r>
    </w:p>
    <w:p>
      <w:pPr>
        <w:jc w:val="center"/>
      </w:pPr>
      <w:r>
        <w:rPr>
          <w:rFonts w:ascii="Times New Roman" w:hAnsi="Times New Roman"/>
          <w:b/>
          <w:i w:val="0"/>
          <w:sz w:val="26"/>
        </w:rPr>
        <w:t>NANFACK [Prénom à compléter]</w:t>
      </w:r>
    </w:p>
    <w:p>
      <w:pPr>
        <w:jc w:val="both"/>
      </w:pPr>
      <w:r>
        <w:rPr>
          <w:rFonts w:ascii="Times New Roman" w:hAnsi="Times New Roman"/>
          <w:b w:val="0"/>
          <w:i w:val="0"/>
          <w:sz w:val="24"/>
        </w:rPr>
      </w:r>
    </w:p>
    <w:p>
      <w:pPr>
        <w:jc w:val="both"/>
      </w:pPr>
      <w:r>
        <w:rPr>
          <w:rFonts w:ascii="Times New Roman" w:hAnsi="Times New Roman"/>
          <w:b w:val="0"/>
          <w:i w:val="0"/>
          <w:sz w:val="24"/>
        </w:rPr>
      </w:r>
    </w:p>
    <w:p>
      <w:pPr>
        <w:jc w:val="both"/>
      </w:pPr>
      <w:r>
        <w:rPr>
          <w:rFonts w:ascii="Times New Roman" w:hAnsi="Times New Roman"/>
          <w:b w:val="0"/>
          <w:i w:val="0"/>
          <w:sz w:val="24"/>
        </w:rPr>
      </w:r>
    </w:p>
    <w:p>
      <w:pPr>
        <w:jc w:val="center"/>
      </w:pPr>
      <w:r>
        <w:rPr>
          <w:rFonts w:ascii="Times New Roman" w:hAnsi="Times New Roman"/>
          <w:b/>
          <w:i w:val="0"/>
          <w:sz w:val="24"/>
        </w:rPr>
        <w:t>Yaoundé, Cameroun</w:t>
      </w:r>
    </w:p>
    <w:p>
      <w:pPr>
        <w:jc w:val="center"/>
      </w:pPr>
      <w:r>
        <w:rPr>
          <w:rFonts w:ascii="Times New Roman" w:hAnsi="Times New Roman"/>
          <w:b/>
          <w:i w:val="0"/>
          <w:sz w:val="24"/>
        </w:rPr>
        <w:t>Année académique 2025-2026</w:t>
      </w:r>
    </w:p>
    <w:p>
      <w:pPr>
        <w:sectPr>
          <w:footerReference w:type="default" r:id="rId9"/>
          <w:pgSz w:w="11906" w:h="16838"/>
          <w:pgMar w:top="1417" w:right="1417" w:bottom="1417" w:left="1701" w:header="720" w:footer="720" w:gutter="0"/>
          <w:cols w:space="720"/>
          <w:docGrid w:linePitch="360"/>
        </w:sectPr>
      </w:pPr>
    </w:p>
    <w:p>
      <w:pPr>
        <w:spacing w:after="360"/>
        <w:jc w:val="center"/>
      </w:pPr>
      <w:r>
        <w:rPr>
          <w:rFonts w:ascii="Times New Roman" w:hAnsi="Times New Roman"/>
          <w:b/>
          <w:sz w:val="26"/>
        </w:rPr>
        <w:t>DÉDICACE</w:t>
      </w:r>
    </w:p>
    <w:p>
      <w:pPr>
        <w:jc w:val="both"/>
      </w:pPr>
      <w:r>
        <w:rPr>
          <w:rFonts w:ascii="Times New Roman" w:hAnsi="Times New Roman"/>
          <w:b w:val="0"/>
          <w:i w:val="0"/>
          <w:sz w:val="24"/>
        </w:rPr>
      </w:r>
    </w:p>
    <w:p>
      <w:pPr>
        <w:jc w:val="both"/>
      </w:pPr>
      <w:r>
        <w:rPr>
          <w:rFonts w:ascii="Times New Roman" w:hAnsi="Times New Roman"/>
          <w:b w:val="0"/>
          <w:i w:val="0"/>
          <w:sz w:val="24"/>
        </w:rPr>
      </w:r>
    </w:p>
    <w:p>
      <w:pPr>
        <w:jc w:val="center"/>
      </w:pPr>
      <w:r>
        <w:rPr>
          <w:rFonts w:ascii="Times New Roman" w:hAnsi="Times New Roman"/>
          <w:b w:val="0"/>
          <w:i/>
          <w:sz w:val="28"/>
        </w:rPr>
        <w:t>À la famille Kamgang</w:t>
      </w:r>
    </w:p>
    <w:p>
      <w:r>
        <w:br w:type="page"/>
      </w:r>
    </w:p>
    <w:p>
      <w:pPr>
        <w:spacing w:after="360"/>
        <w:jc w:val="center"/>
      </w:pPr>
      <w:r>
        <w:rPr>
          <w:rFonts w:ascii="Times New Roman" w:hAnsi="Times New Roman"/>
          <w:b/>
          <w:sz w:val="26"/>
        </w:rPr>
        <w:t>REMERCIEMENTS</w:t>
      </w:r>
    </w:p>
    <w:p>
      <w:pPr>
        <w:jc w:val="both"/>
      </w:pPr>
      <w:r>
        <w:rPr>
          <w:rFonts w:ascii="Times New Roman" w:hAnsi="Times New Roman"/>
          <w:b w:val="0"/>
          <w:i w:val="0"/>
          <w:sz w:val="24"/>
        </w:rPr>
        <w:t>La réalisation de ce travail a bénéficié du concours de plusieurs personnes et institutions envers lesquelles nous exprimons notre reconnaissance.</w:t>
      </w:r>
    </w:p>
    <w:p>
      <w:pPr>
        <w:jc w:val="both"/>
      </w:pPr>
      <w:r>
        <w:rPr>
          <w:rFonts w:ascii="Times New Roman" w:hAnsi="Times New Roman"/>
          <w:b w:val="0"/>
          <w:i w:val="0"/>
          <w:sz w:val="24"/>
        </w:rPr>
        <w:t>Nous remercions d'abord les membres du jury, qui ont accepté d'évaluer ce travail et dont les observations contribuent à en améliorer la qualité.</w:t>
      </w:r>
    </w:p>
    <w:p>
      <w:pPr>
        <w:jc w:val="both"/>
      </w:pPr>
      <w:r>
        <w:rPr>
          <w:rFonts w:ascii="Times New Roman" w:hAnsi="Times New Roman"/>
          <w:b w:val="0"/>
          <w:i w:val="0"/>
          <w:sz w:val="24"/>
        </w:rPr>
        <w:t>Notre gratitude va particulièrement à Ing. Goudjou Blondon, notre encadreur académique, pour la rigueur méthodologique qu'il nous a transmise, sa disponibilité et ses orientations tout au long de ce travail.</w:t>
      </w:r>
    </w:p>
    <w:p>
      <w:pPr>
        <w:jc w:val="both"/>
      </w:pPr>
      <w:r>
        <w:rPr>
          <w:rFonts w:ascii="Times New Roman" w:hAnsi="Times New Roman"/>
          <w:b w:val="0"/>
          <w:i w:val="0"/>
          <w:sz w:val="24"/>
        </w:rPr>
        <w:t>Nous remercions également Ing. Adrien Ghomsi, notre encadreur professionnel, pour son accompagnement technique au quotidien, la confiance qu'il nous a accordée et la qualité de son suivi durant toute la période de stage.</w:t>
      </w:r>
    </w:p>
    <w:p>
      <w:pPr>
        <w:jc w:val="both"/>
      </w:pPr>
      <w:r>
        <w:rPr>
          <w:rFonts w:ascii="Times New Roman" w:hAnsi="Times New Roman"/>
          <w:b w:val="0"/>
          <w:i w:val="0"/>
          <w:sz w:val="24"/>
        </w:rPr>
        <w:t>Nos remerciements s'adressent ensuite à l'Institut Supérieur KEYCE Informatique &amp; Intelligence Artificielle, ainsi qu'à l'École Nationale Supérieure Polytechnique de Yaoundé et à l'Université de Yaoundé I, pour la formation reçue et pour l'encadrement dont nous avons bénéficié.</w:t>
      </w:r>
    </w:p>
    <w:p>
      <w:pPr>
        <w:jc w:val="both"/>
      </w:pPr>
      <w:r>
        <w:rPr>
          <w:rFonts w:ascii="Times New Roman" w:hAnsi="Times New Roman"/>
          <w:b w:val="0"/>
          <w:i w:val="0"/>
          <w:sz w:val="24"/>
        </w:rPr>
        <w:t>Nous exprimons notre reconnaissance à la Fondation Jean Félicien Gacha, et singulièrement à la Maison Foudjem, qui nous a ouvert ses portes, donné accès à ses collections et associé à ses réflexions sur la valorisation du patrimoine.</w:t>
      </w:r>
    </w:p>
    <w:p>
      <w:pPr>
        <w:jc w:val="both"/>
      </w:pPr>
      <w:r>
        <w:rPr>
          <w:rFonts w:ascii="Times New Roman" w:hAnsi="Times New Roman"/>
          <w:b w:val="0"/>
          <w:i w:val="0"/>
          <w:sz w:val="24"/>
        </w:rPr>
        <w:t>Nous remercions enfin la famille Kamgang pour son soutien constant, ainsi que toutes les personnes qui, de près ou de loin, ont contribué à l'aboutissement de ce travail.</w:t>
      </w:r>
    </w:p>
    <w:p>
      <w:r>
        <w:br w:type="page"/>
      </w:r>
    </w:p>
    <w:p>
      <w:pPr>
        <w:spacing w:after="360"/>
        <w:jc w:val="center"/>
      </w:pPr>
      <w:r>
        <w:rPr>
          <w:rFonts w:ascii="Times New Roman" w:hAnsi="Times New Roman"/>
          <w:b/>
          <w:sz w:val="26"/>
        </w:rPr>
        <w:t>LISTE DES SIGLES ET ABRÉVIATIONS</w:t>
      </w:r>
    </w:p>
    <w:tbl>
      <w:tblPr>
        <w:tblStyle w:val="TableGrid"/>
        <w:tblW w:type="auto" w:w="0"/>
        <w:tblLook w:firstColumn="1" w:firstRow="1" w:lastColumn="0" w:lastRow="0" w:noHBand="0" w:noVBand="1" w:val="04A0"/>
      </w:tblPr>
      <w:tblGrid>
        <w:gridCol w:w="4394"/>
        <w:gridCol w:w="4394"/>
      </w:tblGrid>
      <w:tr>
        <w:tc>
          <w:tcPr>
            <w:tcW w:type="dxa" w:w="1984"/>
          </w:tcPr>
          <w:p>
            <w:r/>
            <w:r>
              <w:rPr>
                <w:rFonts w:ascii="Times New Roman" w:hAnsi="Times New Roman"/>
                <w:b/>
                <w:sz w:val="22"/>
              </w:rPr>
              <w:t>Sigle</w:t>
            </w:r>
          </w:p>
        </w:tc>
        <w:tc>
          <w:tcPr>
            <w:tcW w:type="dxa" w:w="6803"/>
          </w:tcPr>
          <w:p>
            <w:r/>
            <w:r>
              <w:rPr>
                <w:rFonts w:ascii="Times New Roman" w:hAnsi="Times New Roman"/>
                <w:b/>
                <w:sz w:val="22"/>
              </w:rPr>
              <w:t>Signification</w:t>
            </w:r>
          </w:p>
        </w:tc>
      </w:tr>
      <w:tr>
        <w:tc>
          <w:tcPr>
            <w:tcW w:type="dxa" w:w="1984"/>
          </w:tcPr>
          <w:p>
            <w:r/>
            <w:r>
              <w:rPr>
                <w:rFonts w:ascii="Times New Roman" w:hAnsi="Times New Roman"/>
                <w:sz w:val="22"/>
              </w:rPr>
              <w:t>API</w:t>
            </w:r>
          </w:p>
        </w:tc>
        <w:tc>
          <w:tcPr>
            <w:tcW w:type="dxa" w:w="6803"/>
          </w:tcPr>
          <w:p>
            <w:r/>
            <w:r>
              <w:rPr>
                <w:rFonts w:ascii="Times New Roman" w:hAnsi="Times New Roman"/>
                <w:sz w:val="22"/>
              </w:rPr>
              <w:t>Application Programming Interface (interface de programmation applicative)</w:t>
            </w:r>
          </w:p>
        </w:tc>
      </w:tr>
      <w:tr>
        <w:tc>
          <w:tcPr>
            <w:tcW w:type="dxa" w:w="1984"/>
          </w:tcPr>
          <w:p>
            <w:r/>
            <w:r>
              <w:rPr>
                <w:rFonts w:ascii="Times New Roman" w:hAnsi="Times New Roman"/>
                <w:sz w:val="22"/>
              </w:rPr>
              <w:t>AR</w:t>
            </w:r>
          </w:p>
        </w:tc>
        <w:tc>
          <w:tcPr>
            <w:tcW w:type="dxa" w:w="6803"/>
          </w:tcPr>
          <w:p>
            <w:r/>
            <w:r>
              <w:rPr>
                <w:rFonts w:ascii="Times New Roman" w:hAnsi="Times New Roman"/>
                <w:sz w:val="22"/>
              </w:rPr>
              <w:t>Augmented Reality (réalité augmentée)</w:t>
            </w:r>
          </w:p>
        </w:tc>
      </w:tr>
      <w:tr>
        <w:tc>
          <w:tcPr>
            <w:tcW w:type="dxa" w:w="1984"/>
          </w:tcPr>
          <w:p>
            <w:r/>
            <w:r>
              <w:rPr>
                <w:rFonts w:ascii="Times New Roman" w:hAnsi="Times New Roman"/>
                <w:sz w:val="22"/>
              </w:rPr>
              <w:t>CRUD</w:t>
            </w:r>
          </w:p>
        </w:tc>
        <w:tc>
          <w:tcPr>
            <w:tcW w:type="dxa" w:w="6803"/>
          </w:tcPr>
          <w:p>
            <w:r/>
            <w:r>
              <w:rPr>
                <w:rFonts w:ascii="Times New Roman" w:hAnsi="Times New Roman"/>
                <w:sz w:val="22"/>
              </w:rPr>
              <w:t>Create, Read, Update, Delete (créer, lire, mettre à jour, supprimer)</w:t>
            </w:r>
          </w:p>
        </w:tc>
      </w:tr>
      <w:tr>
        <w:tc>
          <w:tcPr>
            <w:tcW w:type="dxa" w:w="1984"/>
          </w:tcPr>
          <w:p>
            <w:r/>
            <w:r>
              <w:rPr>
                <w:rFonts w:ascii="Times New Roman" w:hAnsi="Times New Roman"/>
                <w:sz w:val="22"/>
              </w:rPr>
              <w:t>ENSPY</w:t>
            </w:r>
          </w:p>
        </w:tc>
        <w:tc>
          <w:tcPr>
            <w:tcW w:type="dxa" w:w="6803"/>
          </w:tcPr>
          <w:p>
            <w:r/>
            <w:r>
              <w:rPr>
                <w:rFonts w:ascii="Times New Roman" w:hAnsi="Times New Roman"/>
                <w:sz w:val="22"/>
              </w:rPr>
              <w:t>École Nationale Supérieure Polytechnique de Yaoundé</w:t>
            </w:r>
          </w:p>
        </w:tc>
      </w:tr>
      <w:tr>
        <w:tc>
          <w:tcPr>
            <w:tcW w:type="dxa" w:w="1984"/>
          </w:tcPr>
          <w:p>
            <w:r/>
            <w:r>
              <w:rPr>
                <w:rFonts w:ascii="Times New Roman" w:hAnsi="Times New Roman"/>
                <w:sz w:val="22"/>
              </w:rPr>
              <w:t>ERP</w:t>
            </w:r>
          </w:p>
        </w:tc>
        <w:tc>
          <w:tcPr>
            <w:tcW w:type="dxa" w:w="6803"/>
          </w:tcPr>
          <w:p>
            <w:r/>
            <w:r>
              <w:rPr>
                <w:rFonts w:ascii="Times New Roman" w:hAnsi="Times New Roman"/>
                <w:sz w:val="22"/>
              </w:rPr>
              <w:t>Enterprise Resource Planning (progiciel de gestion intégré)</w:t>
            </w:r>
          </w:p>
        </w:tc>
      </w:tr>
      <w:tr>
        <w:tc>
          <w:tcPr>
            <w:tcW w:type="dxa" w:w="1984"/>
          </w:tcPr>
          <w:p>
            <w:r/>
            <w:r>
              <w:rPr>
                <w:rFonts w:ascii="Times New Roman" w:hAnsi="Times New Roman"/>
                <w:sz w:val="22"/>
              </w:rPr>
              <w:t>FJFG</w:t>
            </w:r>
          </w:p>
        </w:tc>
        <w:tc>
          <w:tcPr>
            <w:tcW w:type="dxa" w:w="6803"/>
          </w:tcPr>
          <w:p>
            <w:r/>
            <w:r>
              <w:rPr>
                <w:rFonts w:ascii="Times New Roman" w:hAnsi="Times New Roman"/>
                <w:sz w:val="22"/>
              </w:rPr>
              <w:t>Fondation Jean Félicien Gacha</w:t>
            </w:r>
          </w:p>
        </w:tc>
      </w:tr>
      <w:tr>
        <w:tc>
          <w:tcPr>
            <w:tcW w:type="dxa" w:w="1984"/>
          </w:tcPr>
          <w:p>
            <w:r/>
            <w:r>
              <w:rPr>
                <w:rFonts w:ascii="Times New Roman" w:hAnsi="Times New Roman"/>
                <w:sz w:val="22"/>
              </w:rPr>
              <w:t>GLB / glTF</w:t>
            </w:r>
          </w:p>
        </w:tc>
        <w:tc>
          <w:tcPr>
            <w:tcW w:type="dxa" w:w="6803"/>
          </w:tcPr>
          <w:p>
            <w:r/>
            <w:r>
              <w:rPr>
                <w:rFonts w:ascii="Times New Roman" w:hAnsi="Times New Roman"/>
                <w:sz w:val="22"/>
              </w:rPr>
              <w:t>Graphics Language Transmission Format (format d'échange de modèles 3D)</w:t>
            </w:r>
          </w:p>
        </w:tc>
      </w:tr>
      <w:tr>
        <w:tc>
          <w:tcPr>
            <w:tcW w:type="dxa" w:w="1984"/>
          </w:tcPr>
          <w:p>
            <w:r/>
            <w:r>
              <w:rPr>
                <w:rFonts w:ascii="Times New Roman" w:hAnsi="Times New Roman"/>
                <w:sz w:val="22"/>
              </w:rPr>
              <w:t>ICOM</w:t>
            </w:r>
          </w:p>
        </w:tc>
        <w:tc>
          <w:tcPr>
            <w:tcW w:type="dxa" w:w="6803"/>
          </w:tcPr>
          <w:p>
            <w:r/>
            <w:r>
              <w:rPr>
                <w:rFonts w:ascii="Times New Roman" w:hAnsi="Times New Roman"/>
                <w:sz w:val="22"/>
              </w:rPr>
              <w:t>International Council of Museums (Conseil international des musées)</w:t>
            </w:r>
          </w:p>
        </w:tc>
      </w:tr>
      <w:tr>
        <w:tc>
          <w:tcPr>
            <w:tcW w:type="dxa" w:w="1984"/>
          </w:tcPr>
          <w:p>
            <w:r/>
            <w:r>
              <w:rPr>
                <w:rFonts w:ascii="Times New Roman" w:hAnsi="Times New Roman"/>
                <w:sz w:val="22"/>
              </w:rPr>
              <w:t>IA</w:t>
            </w:r>
          </w:p>
        </w:tc>
        <w:tc>
          <w:tcPr>
            <w:tcW w:type="dxa" w:w="6803"/>
          </w:tcPr>
          <w:p>
            <w:r/>
            <w:r>
              <w:rPr>
                <w:rFonts w:ascii="Times New Roman" w:hAnsi="Times New Roman"/>
                <w:sz w:val="22"/>
              </w:rPr>
              <w:t>Intelligence artificielle</w:t>
            </w:r>
          </w:p>
        </w:tc>
      </w:tr>
      <w:tr>
        <w:tc>
          <w:tcPr>
            <w:tcW w:type="dxa" w:w="1984"/>
          </w:tcPr>
          <w:p>
            <w:r/>
            <w:r>
              <w:rPr>
                <w:rFonts w:ascii="Times New Roman" w:hAnsi="Times New Roman"/>
                <w:sz w:val="22"/>
              </w:rPr>
              <w:t>KEYCE</w:t>
            </w:r>
          </w:p>
        </w:tc>
        <w:tc>
          <w:tcPr>
            <w:tcW w:type="dxa" w:w="6803"/>
          </w:tcPr>
          <w:p>
            <w:r/>
            <w:r>
              <w:rPr>
                <w:rFonts w:ascii="Times New Roman" w:hAnsi="Times New Roman"/>
                <w:sz w:val="22"/>
              </w:rPr>
              <w:t>Institut Supérieur KEYCE Informatique &amp; Intelligence Artificielle</w:t>
            </w:r>
          </w:p>
        </w:tc>
      </w:tr>
      <w:tr>
        <w:tc>
          <w:tcPr>
            <w:tcW w:type="dxa" w:w="1984"/>
          </w:tcPr>
          <w:p>
            <w:r/>
            <w:r>
              <w:rPr>
                <w:rFonts w:ascii="Times New Roman" w:hAnsi="Times New Roman"/>
                <w:sz w:val="22"/>
              </w:rPr>
              <w:t>LiDAR</w:t>
            </w:r>
          </w:p>
        </w:tc>
        <w:tc>
          <w:tcPr>
            <w:tcW w:type="dxa" w:w="6803"/>
          </w:tcPr>
          <w:p>
            <w:r/>
            <w:r>
              <w:rPr>
                <w:rFonts w:ascii="Times New Roman" w:hAnsi="Times New Roman"/>
                <w:sz w:val="22"/>
              </w:rPr>
              <w:t>Light Detection and Ranging (détection et télémétrie par la lumière)</w:t>
            </w:r>
          </w:p>
        </w:tc>
      </w:tr>
      <w:tr>
        <w:tc>
          <w:tcPr>
            <w:tcW w:type="dxa" w:w="1984"/>
          </w:tcPr>
          <w:p>
            <w:r/>
            <w:r>
              <w:rPr>
                <w:rFonts w:ascii="Times New Roman" w:hAnsi="Times New Roman"/>
                <w:sz w:val="22"/>
              </w:rPr>
              <w:t>RLS</w:t>
            </w:r>
          </w:p>
        </w:tc>
        <w:tc>
          <w:tcPr>
            <w:tcW w:type="dxa" w:w="6803"/>
          </w:tcPr>
          <w:p>
            <w:r/>
            <w:r>
              <w:rPr>
                <w:rFonts w:ascii="Times New Roman" w:hAnsi="Times New Roman"/>
                <w:sz w:val="22"/>
              </w:rPr>
              <w:t>Row Level Security (sécurité au niveau des lignes)</w:t>
            </w:r>
          </w:p>
        </w:tc>
      </w:tr>
      <w:tr>
        <w:tc>
          <w:tcPr>
            <w:tcW w:type="dxa" w:w="1984"/>
          </w:tcPr>
          <w:p>
            <w:r/>
            <w:r>
              <w:rPr>
                <w:rFonts w:ascii="Times New Roman" w:hAnsi="Times New Roman"/>
                <w:sz w:val="22"/>
              </w:rPr>
              <w:t>SI</w:t>
            </w:r>
          </w:p>
        </w:tc>
        <w:tc>
          <w:tcPr>
            <w:tcW w:type="dxa" w:w="6803"/>
          </w:tcPr>
          <w:p>
            <w:r/>
            <w:r>
              <w:rPr>
                <w:rFonts w:ascii="Times New Roman" w:hAnsi="Times New Roman"/>
                <w:sz w:val="22"/>
              </w:rPr>
              <w:t>Système d'information</w:t>
            </w:r>
          </w:p>
        </w:tc>
      </w:tr>
      <w:tr>
        <w:tc>
          <w:tcPr>
            <w:tcW w:type="dxa" w:w="1984"/>
          </w:tcPr>
          <w:p>
            <w:r/>
            <w:r>
              <w:rPr>
                <w:rFonts w:ascii="Times New Roman" w:hAnsi="Times New Roman"/>
                <w:sz w:val="22"/>
              </w:rPr>
              <w:t>TAM</w:t>
            </w:r>
          </w:p>
        </w:tc>
        <w:tc>
          <w:tcPr>
            <w:tcW w:type="dxa" w:w="6803"/>
          </w:tcPr>
          <w:p>
            <w:r/>
            <w:r>
              <w:rPr>
                <w:rFonts w:ascii="Times New Roman" w:hAnsi="Times New Roman"/>
                <w:sz w:val="22"/>
              </w:rPr>
              <w:t>Technology Acceptance Model (modèle d'acceptation de la technologie)</w:t>
            </w:r>
          </w:p>
        </w:tc>
      </w:tr>
      <w:tr>
        <w:tc>
          <w:tcPr>
            <w:tcW w:type="dxa" w:w="1984"/>
          </w:tcPr>
          <w:p>
            <w:r/>
            <w:r>
              <w:rPr>
                <w:rFonts w:ascii="Times New Roman" w:hAnsi="Times New Roman"/>
                <w:sz w:val="22"/>
              </w:rPr>
              <w:t>TTS</w:t>
            </w:r>
          </w:p>
        </w:tc>
        <w:tc>
          <w:tcPr>
            <w:tcW w:type="dxa" w:w="6803"/>
          </w:tcPr>
          <w:p>
            <w:r/>
            <w:r>
              <w:rPr>
                <w:rFonts w:ascii="Times New Roman" w:hAnsi="Times New Roman"/>
                <w:sz w:val="22"/>
              </w:rPr>
              <w:t>Text To Speech (synthèse vocale)</w:t>
            </w:r>
          </w:p>
        </w:tc>
      </w:tr>
      <w:tr>
        <w:tc>
          <w:tcPr>
            <w:tcW w:type="dxa" w:w="1984"/>
          </w:tcPr>
          <w:p>
            <w:r/>
            <w:r>
              <w:rPr>
                <w:rFonts w:ascii="Times New Roman" w:hAnsi="Times New Roman"/>
                <w:sz w:val="22"/>
              </w:rPr>
              <w:t>UNESCO</w:t>
            </w:r>
          </w:p>
        </w:tc>
        <w:tc>
          <w:tcPr>
            <w:tcW w:type="dxa" w:w="6803"/>
          </w:tcPr>
          <w:p>
            <w:r/>
            <w:r>
              <w:rPr>
                <w:rFonts w:ascii="Times New Roman" w:hAnsi="Times New Roman"/>
                <w:sz w:val="22"/>
              </w:rPr>
              <w:t>United Nations Educational, Scientific and Cultural Organization</w:t>
            </w:r>
          </w:p>
        </w:tc>
      </w:tr>
      <w:tr>
        <w:tc>
          <w:tcPr>
            <w:tcW w:type="dxa" w:w="1984"/>
          </w:tcPr>
          <w:p>
            <w:r/>
            <w:r>
              <w:rPr>
                <w:rFonts w:ascii="Times New Roman" w:hAnsi="Times New Roman"/>
                <w:sz w:val="22"/>
              </w:rPr>
              <w:t>UY1</w:t>
            </w:r>
          </w:p>
        </w:tc>
        <w:tc>
          <w:tcPr>
            <w:tcW w:type="dxa" w:w="6803"/>
          </w:tcPr>
          <w:p>
            <w:r/>
            <w:r>
              <w:rPr>
                <w:rFonts w:ascii="Times New Roman" w:hAnsi="Times New Roman"/>
                <w:sz w:val="22"/>
              </w:rPr>
              <w:t>Université de Yaoundé I</w:t>
            </w:r>
          </w:p>
        </w:tc>
      </w:tr>
    </w:tbl>
    <w:p>
      <w:r>
        <w:br w:type="page"/>
      </w:r>
    </w:p>
    <w:p>
      <w:pPr>
        <w:spacing w:after="360"/>
        <w:jc w:val="center"/>
      </w:pPr>
      <w:r>
        <w:rPr>
          <w:rFonts w:ascii="Times New Roman" w:hAnsi="Times New Roman"/>
          <w:b/>
          <w:sz w:val="26"/>
        </w:rPr>
        <w:t>RÉSUMÉ</w:t>
      </w:r>
    </w:p>
    <w:p>
      <w:pPr>
        <w:jc w:val="both"/>
      </w:pPr>
      <w:r>
        <w:rPr>
          <w:rFonts w:ascii="Times New Roman" w:hAnsi="Times New Roman"/>
          <w:b w:val="0"/>
          <w:i w:val="0"/>
          <w:sz w:val="24"/>
        </w:rPr>
        <w:t>Le patrimoine des chefferies de l'Ouest-Cameroun constitue un fonds culturel majeur : objets d'art, insignes du pouvoir, architectures et lignées dynastiques y forment un ensemble indissociable, où chaque objet tire son sens de l'histoire du souverain auquel il est rattaché. Conservé pour l'essentiel dans des musées de chefferie, ce patrimoine demeure toutefois peu accessible : sa documentation reste largement analogique, sa médiation dépend de la présence physique du visiteur et d'un guide, et le lien entre les objets et les généalogies qui les portent n'est que rarement restitué. La Maison Foudjem, musée de la Fondation Jean Félicien Gacha, illustre cette situation.</w:t>
      </w:r>
    </w:p>
    <w:p>
      <w:pPr>
        <w:jc w:val="both"/>
      </w:pPr>
      <w:r>
        <w:rPr>
          <w:rFonts w:ascii="Times New Roman" w:hAnsi="Times New Roman"/>
          <w:b w:val="0"/>
          <w:i w:val="0"/>
          <w:sz w:val="24"/>
        </w:rPr>
        <w:t>Cette étude porte sur la médiation numérique de ce patrimoine. Elle cherche à comprendre pourquoi les collections de la Maison Foudjem restent faiblement accessibles et faiblement valorisées, malgré leur richesse. La question générale interroge les causes de cette situation ; les questions spécifiques portent sur les dispositifs actuels de documentation et de médiation, sur l'état de la numérisation des objets et des généalogies, et sur les effets de l'absence d'un dispositif numérique sur l'audience et sur les ressources du musée.</w:t>
      </w:r>
    </w:p>
    <w:p>
      <w:pPr>
        <w:jc w:val="both"/>
      </w:pPr>
      <w:r>
        <w:rPr>
          <w:rFonts w:ascii="Times New Roman" w:hAnsi="Times New Roman"/>
          <w:b w:val="0"/>
          <w:i w:val="0"/>
          <w:sz w:val="24"/>
        </w:rPr>
        <w:t>Conduite au niveau intégrateur selon une démarche de recherche-action, l'étude a combiné l'observation directe du site, l'analyse documentaire du fonds et des entretiens avec le personnel de la Fondation. Les variables retenues — documentation des collections, médiation, accessibilité du public et valorisation économique — ont été mesurées par des indicateurs observables sur le terrain.</w:t>
      </w:r>
    </w:p>
    <w:p>
      <w:pPr>
        <w:jc w:val="both"/>
      </w:pPr>
      <w:r>
        <w:rPr>
          <w:rFonts w:ascii="Times New Roman" w:hAnsi="Times New Roman"/>
          <w:b w:val="0"/>
          <w:i w:val="0"/>
          <w:sz w:val="24"/>
        </w:rPr>
        <w:t>[À COMPLÉTER APRÈS COLLECTE : synthèse des résultats obtenus sur le terrain — état de la documentation, volume des collections, pratiques de médiation observées.] Le diagnostic établi a conduit à proposer une intervention : MUSÉA, une plateforme numérique articulant un progiciel de gestion des collections, un site public de visite immersive en trois dimensions et en réalité augmentée, une restitution des généalogies reliant chaque objet à son souverain, un guide vocal fondé sur l'intelligence artificielle et un dispositif d'accès payant. La faisabilité de cette proposition a été établie par la réalisation d'un prototype fonctionnel, dont l'architecture et les mécanismes de sécurité sont documentés dans ce rapport.</w:t>
      </w:r>
    </w:p>
    <w:p>
      <w:pPr>
        <w:jc w:val="both"/>
      </w:pPr>
      <w:r>
        <w:rPr>
          <w:rFonts w:ascii="Times New Roman" w:hAnsi="Times New Roman"/>
          <w:b/>
          <w:i w:val="0"/>
          <w:sz w:val="24"/>
        </w:rPr>
        <w:t>Mots clés : patrimoine culturel, médiation numérique, chefferies, musée, intelligence artificielle.</w:t>
      </w:r>
    </w:p>
    <w:p>
      <w:r>
        <w:br w:type="page"/>
      </w:r>
    </w:p>
    <w:p>
      <w:pPr>
        <w:spacing w:after="360"/>
        <w:jc w:val="center"/>
      </w:pPr>
      <w:r>
        <w:rPr>
          <w:rFonts w:ascii="Times New Roman" w:hAnsi="Times New Roman"/>
          <w:b/>
          <w:sz w:val="26"/>
        </w:rPr>
        <w:t>ABSTRACT</w:t>
      </w:r>
    </w:p>
    <w:p>
      <w:pPr>
        <w:jc w:val="both"/>
      </w:pPr>
      <w:r>
        <w:rPr>
          <w:rFonts w:ascii="Times New Roman" w:hAnsi="Times New Roman"/>
          <w:b w:val="0"/>
          <w:i w:val="0"/>
          <w:sz w:val="24"/>
        </w:rPr>
        <w:t>The heritage of the chiefdoms of Western Cameroon constitutes a major cultural corpus: artworks, regalia, architecture and dynastic lineages form an inseparable whole, in which each object draws its meaning from the history of the sovereign to whom it is attached. Mostly preserved in chiefdom museums, this heritage nevertheless remains hardly accessible: its documentation is still largely analogue, its mediation depends on the physical presence of a visitor and a guide, and the link between objects and the genealogies that carry them is rarely restored. The Maison Foudjem, a museum of the Jean Félicien Gacha Foundation, illustrates this situation.</w:t>
      </w:r>
    </w:p>
    <w:p>
      <w:pPr>
        <w:jc w:val="both"/>
      </w:pPr>
      <w:r>
        <w:rPr>
          <w:rFonts w:ascii="Times New Roman" w:hAnsi="Times New Roman"/>
          <w:b w:val="0"/>
          <w:i w:val="0"/>
          <w:sz w:val="24"/>
        </w:rPr>
        <w:t>This study addresses the digital mediation of that heritage. It seeks to understand why the collections of the Maison Foudjem remain poorly accessible and poorly valorised, despite their richness. The general question investigates the causes of this situation; the specific questions concern current documentation and mediation practices, the state of the digitisation of objects and genealogies, and the effects of the absence of a digital device on audience and on the museum's resources.</w:t>
      </w:r>
    </w:p>
    <w:p>
      <w:pPr>
        <w:jc w:val="both"/>
      </w:pPr>
      <w:r>
        <w:rPr>
          <w:rFonts w:ascii="Times New Roman" w:hAnsi="Times New Roman"/>
          <w:b w:val="0"/>
          <w:i w:val="0"/>
          <w:sz w:val="24"/>
        </w:rPr>
        <w:t>Conducted at the integrative level through an action-research approach, the study combined direct observation of the site, documentary analysis of the collection and interviews with the Foundation's staff. The selected variables — documentation of collections, mediation, public accessibility and economic valorisation — were measured through indicators observable in the field.</w:t>
      </w:r>
    </w:p>
    <w:p>
      <w:pPr>
        <w:jc w:val="both"/>
      </w:pPr>
      <w:r>
        <w:rPr>
          <w:rFonts w:ascii="Times New Roman" w:hAnsi="Times New Roman"/>
          <w:b w:val="0"/>
          <w:i w:val="0"/>
          <w:sz w:val="24"/>
        </w:rPr>
        <w:t>[TO BE COMPLETED AFTER DATA COLLECTION: summary of field results.] The resulting diagnosis led to a proposed intervention: MUSÉA, a digital platform combining a collection management system, a public website offering an immersive visit in three dimensions and augmented reality, a rendering of the genealogies linking each object to its sovereign, an artificial-intelligence-based voice guide and a paid access mechanism. The feasibility of this proposal was established through a functional prototype, whose architecture and security mechanisms are documented in this report.</w:t>
      </w:r>
    </w:p>
    <w:p>
      <w:pPr>
        <w:jc w:val="both"/>
      </w:pPr>
      <w:r>
        <w:rPr>
          <w:rFonts w:ascii="Times New Roman" w:hAnsi="Times New Roman"/>
          <w:b/>
          <w:i w:val="0"/>
          <w:sz w:val="24"/>
        </w:rPr>
        <w:t>Keywords: cultural heritage, digital mediation, chiefdoms, museum, artificial intelligence.</w:t>
      </w:r>
    </w:p>
    <w:p>
      <w:r>
        <w:br w:type="page"/>
      </w:r>
    </w:p>
    <w:p>
      <w:pPr>
        <w:spacing w:after="360"/>
        <w:jc w:val="center"/>
      </w:pPr>
      <w:r>
        <w:rPr>
          <w:rFonts w:ascii="Times New Roman" w:hAnsi="Times New Roman"/>
          <w:b/>
          <w:sz w:val="26"/>
        </w:rPr>
        <w:t>INDEX DES TABLEAUX</w:t>
      </w:r>
    </w:p>
    <w:p>
      <w:pPr>
        <w:jc w:val="both"/>
      </w:pPr>
      <w:r>
        <w:rPr>
          <w:rFonts w:ascii="Times New Roman" w:hAnsi="Times New Roman"/>
          <w:b w:val="0"/>
          <w:i/>
          <w:sz w:val="22"/>
        </w:rPr>
        <w:t>[Dans Word : Références ▸ Insérer une table des illustrations ▸ Légende « Tableau ».]</w:t>
      </w:r>
    </w:p>
    <w:p>
      <w:r>
        <w:br w:type="page"/>
      </w:r>
    </w:p>
    <w:p>
      <w:pPr>
        <w:spacing w:after="360"/>
        <w:jc w:val="center"/>
      </w:pPr>
      <w:r>
        <w:rPr>
          <w:rFonts w:ascii="Times New Roman" w:hAnsi="Times New Roman"/>
          <w:b/>
          <w:sz w:val="26"/>
        </w:rPr>
        <w:t>INDEX DES GRAPHIQUES</w:t>
      </w:r>
    </w:p>
    <w:p>
      <w:pPr>
        <w:jc w:val="both"/>
      </w:pPr>
      <w:r>
        <w:rPr>
          <w:rFonts w:ascii="Times New Roman" w:hAnsi="Times New Roman"/>
          <w:b w:val="0"/>
          <w:i/>
          <w:sz w:val="22"/>
        </w:rPr>
        <w:t>[Dans Word : Références ▸ Insérer une table des illustrations ▸ Légende « Figure ».]</w:t>
      </w:r>
    </w:p>
    <w:p>
      <w:r>
        <w:br w:type="page"/>
      </w:r>
    </w:p>
    <w:p>
      <w:pPr>
        <w:spacing w:after="360"/>
        <w:jc w:val="center"/>
      </w:pPr>
      <w:r>
        <w:rPr>
          <w:rFonts w:ascii="Times New Roman" w:hAnsi="Times New Roman"/>
          <w:b/>
          <w:sz w:val="26"/>
        </w:rPr>
        <w:t>SOMMAIRE</w:t>
      </w:r>
    </w:p>
    <w:p>
      <w:pPr>
        <w:jc w:val="both"/>
      </w:pPr>
      <w:r>
        <w:rPr>
          <w:rFonts w:ascii="Times New Roman" w:hAnsi="Times New Roman"/>
          <w:b w:val="0"/>
          <w:i/>
          <w:sz w:val="22"/>
        </w:rPr>
        <w:t>[Dans Word : Références ▸ Table des matières ▸ Table automatique (2 pages maximum).]</w:t>
      </w:r>
    </w:p>
    <w:p>
      <w:pPr>
        <w:sectPr>
          <w:footerReference w:type="default" r:id="rId10"/>
          <w:pgSz w:w="11906" w:h="16838"/>
          <w:pgMar w:top="1417" w:right="1417" w:bottom="1417" w:left="1701" w:header="720" w:footer="720" w:gutter="0"/>
          <w:cols w:space="720"/>
          <w:docGrid w:linePitch="360"/>
          <w:pgNumType w:fmt="upperRoman" w:start="1"/>
        </w:sectPr>
      </w:pPr>
    </w:p>
    <w:p>
      <w:pPr>
        <w:spacing w:after="360"/>
        <w:jc w:val="center"/>
      </w:pPr>
      <w:r>
        <w:rPr>
          <w:rFonts w:ascii="Times New Roman" w:hAnsi="Times New Roman"/>
          <w:b/>
          <w:sz w:val="28"/>
        </w:rPr>
        <w:t>INTRODUCTION GÉNÉRALE</w:t>
      </w:r>
    </w:p>
    <w:p>
      <w:pPr>
        <w:spacing w:before="360" w:after="120"/>
        <w:jc w:val="left"/>
      </w:pPr>
      <w:r>
        <w:rPr>
          <w:rFonts w:ascii="Times New Roman" w:hAnsi="Times New Roman"/>
          <w:b/>
          <w:sz w:val="26"/>
        </w:rPr>
        <w:t>1. Contexte général de l'étude</w:t>
      </w:r>
    </w:p>
    <w:p>
      <w:pPr>
        <w:jc w:val="both"/>
      </w:pPr>
      <w:r>
        <w:rPr>
          <w:rFonts w:ascii="Times New Roman" w:hAnsi="Times New Roman"/>
          <w:b w:val="0"/>
          <w:i w:val="0"/>
          <w:sz w:val="24"/>
        </w:rPr>
        <w:t>Le patrimoine culturel constitue, pour les sociétés qui en héritent, à la fois une mémoire et une ressource. L'Organisation des Nations unies pour l'éducation, la science et la culture rappelle que ce patrimoine ne se limite pas aux monuments et aux collections d'objets : il comprend également les traditions, les savoir-faire et les expressions vivantes héritées des ancêtres et transmises aux descendants (UNESCO, 2003). Cette conception élargie s'applique particulièrement aux sociétés d'Afrique centrale, où l'objet et le récit qui le porte sont indissociables.</w:t>
      </w:r>
    </w:p>
    <w:p>
      <w:pPr>
        <w:jc w:val="both"/>
      </w:pPr>
      <w:r>
        <w:rPr>
          <w:rFonts w:ascii="Times New Roman" w:hAnsi="Times New Roman"/>
          <w:b w:val="0"/>
          <w:i w:val="0"/>
          <w:sz w:val="24"/>
        </w:rPr>
        <w:t>Au Cameroun, les chefferies traditionnelles de l'Ouest occupent à cet égard une place singulière. Elles conservent un ensemble d'objets — trônes, masques, statues, insignes du pouvoir, textiles, architectures — dont la valeur ne tient pas seulement à la facture, mais au lien qui les rattache à une lignée. Un siège n'est pas un siège : il est celui d'un souverain déterminé, dont le règne, les alliances et la descendance donnent son sens à l'objet. La généalogie n'est donc pas un supplément documentaire ; elle est la clé de lecture du fonds.</w:t>
      </w:r>
    </w:p>
    <w:p>
      <w:pPr>
        <w:jc w:val="both"/>
      </w:pPr>
      <w:r>
        <w:rPr>
          <w:rFonts w:ascii="Times New Roman" w:hAnsi="Times New Roman"/>
          <w:b w:val="0"/>
          <w:i w:val="0"/>
          <w:sz w:val="24"/>
        </w:rPr>
        <w:t>Ce patrimoine est aujourd'hui conservé dans des musées de chefferie et dans des fondations privées. La Fondation Jean Félicien Gacha s'inscrit dans cette démarche : elle œuvre à la conservation et à la transmission du patrimoine des chefferies camerounaises, notamment à travers la Maison Foudjem, où sont réunies des collections d'objets et une documentation sur les lignées auxquelles ils se rattachent.</w:t>
      </w:r>
    </w:p>
    <w:p>
      <w:pPr>
        <w:jc w:val="both"/>
      </w:pPr>
      <w:r>
        <w:rPr>
          <w:rFonts w:ascii="Times New Roman" w:hAnsi="Times New Roman"/>
          <w:b w:val="0"/>
          <w:i w:val="0"/>
          <w:sz w:val="24"/>
        </w:rPr>
        <w:t>Dans le même temps, la médiation muséale connaît une transformation profonde. Le Conseil international des musées assigne désormais au musée une mission explicite de communication et de partage avec le public, au-delà de la seule conservation (ICOM, 2022). Les technologies numériques — numérisation tridimensionnelle, réalité augmentée, restitution en ligne, médiation assistée par intelligence artificielle — ont considérablement élargi le champ des possibles. Elles permettent de donner accès à des collections sans déplacement, de restituer un objet dans son contexte et d'adresser un discours adapté à chaque visiteur.</w:t>
      </w:r>
    </w:p>
    <w:p>
      <w:pPr>
        <w:jc w:val="both"/>
      </w:pPr>
      <w:r>
        <w:rPr>
          <w:rFonts w:ascii="Times New Roman" w:hAnsi="Times New Roman"/>
          <w:b w:val="0"/>
          <w:i w:val="0"/>
          <w:sz w:val="24"/>
        </w:rPr>
        <w:t>Cette évolution rencontre au Cameroun un contexte favorable sur le plan des usages. L'Union internationale des télécommunications observe une progression continue de la connectivité et de l'équipement mobile en Afrique subsaharienne (UIT, 2023), ce qui rend techniquement envisageable une médiation numérique adressée aussi bien au public local qu'à la diaspora.</w:t>
      </w:r>
    </w:p>
    <w:p>
      <w:pPr>
        <w:jc w:val="both"/>
      </w:pPr>
      <w:r>
        <w:rPr>
          <w:rFonts w:ascii="Times New Roman" w:hAnsi="Times New Roman"/>
          <w:b w:val="0"/>
          <w:i w:val="0"/>
          <w:sz w:val="24"/>
        </w:rPr>
        <w:t>Un décalage subsiste néanmoins. Alors que les moyens techniques existent et que la demande de reconnexion à la mémoire des chefferies est réelle, les collections de nombreux musées de chefferie demeurent connues d'un cercle restreint. Leur documentation reste souvent manuscrite ou dispersée, leur médiation dépend de la présence simultanée d'un visiteur et d'un guide, et le lien entre l'objet et la lignée — qui en constitue pourtant l'intérêt majeur — n'est pas restitué au public. La Maison Foudjem n'échappe pas à ce constat. C'est ce décalage entre un fonds d'une grande richesse et une audience limitée qui fonde la problématique de la présente étude.</w:t>
      </w:r>
    </w:p>
    <w:p>
      <w:pPr>
        <w:spacing w:before="360" w:after="120"/>
        <w:jc w:val="left"/>
      </w:pPr>
      <w:r>
        <w:rPr>
          <w:rFonts w:ascii="Times New Roman" w:hAnsi="Times New Roman"/>
          <w:b/>
          <w:sz w:val="26"/>
        </w:rPr>
        <w:t>2. Problématique de l'étude</w:t>
      </w:r>
    </w:p>
    <w:p>
      <w:pPr>
        <w:spacing w:before="240" w:after="120"/>
        <w:jc w:val="left"/>
      </w:pPr>
      <w:r>
        <w:rPr>
          <w:rFonts w:ascii="Times New Roman" w:hAnsi="Times New Roman"/>
          <w:b/>
          <w:i/>
          <w:sz w:val="24"/>
        </w:rPr>
        <w:t>2.1. Présentation du problème</w:t>
      </w:r>
    </w:p>
    <w:p>
      <w:pPr>
        <w:jc w:val="both"/>
      </w:pPr>
      <w:r>
        <w:rPr>
          <w:rFonts w:ascii="Times New Roman" w:hAnsi="Times New Roman"/>
          <w:b w:val="0"/>
          <w:i w:val="0"/>
          <w:sz w:val="24"/>
        </w:rPr>
        <w:t>L'observation conduite à la Maison Foudjem pendant la période de stage fait apparaître une situation contrastée. D'un côté, le musée conserve un fonds d'objets rattachés aux lignées des chefferies, accompagné d'une connaissance orale et documentaire détenue par le personnel et par les dépositaires de la tradition. De l'autre, ce fonds ne produit qu'une audience restreinte et une contribution économique limitée.</w:t>
      </w:r>
    </w:p>
    <w:p>
      <w:pPr>
        <w:jc w:val="both"/>
      </w:pPr>
      <w:r>
        <w:rPr>
          <w:rFonts w:ascii="Times New Roman" w:hAnsi="Times New Roman"/>
          <w:b w:val="0"/>
          <w:i w:val="0"/>
          <w:sz w:val="24"/>
        </w:rPr>
        <w:t>Trois faits empiriques ressortent de cette observation. Premièrement, la documentation des collections repose largement sur des supports analogiques et sur la mémoire des personnes : il n'existe pas de référentiel numérique unique décrivant chaque objet, sa localisation, son histoire et le souverain auquel il se rattache. Deuxièmement, la médiation est entièrement conditionnée par la coprésence physique : hors de la visite guidée, le patrimoine n'est ni consultable ni racontable, ce qui exclut de fait le public éloigné et la diaspora. Troisièmement, le lien entre l'objet et la généalogie, qui constitue la valeur d'usage principale du fonds, n'est restitué qu'oralement et de manière partielle.</w:t>
      </w:r>
    </w:p>
    <w:p>
      <w:pPr>
        <w:jc w:val="both"/>
      </w:pPr>
      <w:r>
        <w:rPr>
          <w:rFonts w:ascii="Times New Roman" w:hAnsi="Times New Roman"/>
          <w:b w:val="0"/>
          <w:i w:val="0"/>
          <w:sz w:val="24"/>
        </w:rPr>
        <w:t>Ces constats produisent un effet cumulatif : le patrimoine est conservé, mais il est peu vu, peu documenté durablement et peu générateur de ressources pour la structure qui en assure la garde. La question qui se pose n'est donc pas celle de la richesse du fonds, mais celle des causes de sa faible diffusion.</w:t>
      </w:r>
    </w:p>
    <w:p>
      <w:pPr>
        <w:spacing w:before="240" w:after="120"/>
        <w:jc w:val="left"/>
      </w:pPr>
      <w:r>
        <w:rPr>
          <w:rFonts w:ascii="Times New Roman" w:hAnsi="Times New Roman"/>
          <w:b/>
          <w:i/>
          <w:sz w:val="24"/>
        </w:rPr>
        <w:t>2.2. Formulation du problème</w:t>
      </w:r>
    </w:p>
    <w:p>
      <w:pPr>
        <w:jc w:val="both"/>
      </w:pPr>
      <w:r>
        <w:rPr>
          <w:rFonts w:ascii="Times New Roman" w:hAnsi="Times New Roman"/>
          <w:b/>
          <w:i w:val="0"/>
          <w:sz w:val="24"/>
        </w:rPr>
        <w:t>Question générale de l'étude</w:t>
      </w:r>
    </w:p>
    <w:p>
      <w:pPr>
        <w:pStyle w:val="ListBullet"/>
        <w:spacing w:after="120"/>
        <w:ind w:left="567"/>
        <w:jc w:val="both"/>
      </w:pPr>
      <w:r>
        <w:rPr>
          <w:rFonts w:ascii="Times New Roman" w:hAnsi="Times New Roman"/>
          <w:sz w:val="24"/>
        </w:rPr>
        <w:t>Pourquoi le patrimoine conservé à la Maison Foudjem demeure-t-il faiblement accessible au public et faiblement valorisé, malgré la richesse de ses collections et des lignées qui s'y rattachent ?</w:t>
      </w:r>
    </w:p>
    <w:p>
      <w:pPr>
        <w:jc w:val="both"/>
      </w:pPr>
      <w:r>
        <w:rPr>
          <w:rFonts w:ascii="Times New Roman" w:hAnsi="Times New Roman"/>
          <w:b/>
          <w:i w:val="0"/>
          <w:sz w:val="24"/>
        </w:rPr>
        <w:t>Questions spécifiques de l'étude</w:t>
      </w:r>
    </w:p>
    <w:p>
      <w:pPr>
        <w:pStyle w:val="ListBullet"/>
        <w:spacing w:after="120"/>
        <w:ind w:left="567"/>
        <w:jc w:val="both"/>
      </w:pPr>
      <w:r>
        <w:rPr>
          <w:rFonts w:ascii="Times New Roman" w:hAnsi="Times New Roman"/>
          <w:sz w:val="24"/>
        </w:rPr>
        <w:t>Quels sont les dispositifs de documentation et de médiation actuellement mis en œuvre à la Maison Foudjem, et quels résultats produisent-ils ?</w:t>
      </w:r>
    </w:p>
    <w:p>
      <w:pPr>
        <w:pStyle w:val="ListBullet"/>
        <w:spacing w:after="120"/>
        <w:ind w:left="567"/>
        <w:jc w:val="both"/>
      </w:pPr>
      <w:r>
        <w:rPr>
          <w:rFonts w:ascii="Times New Roman" w:hAnsi="Times New Roman"/>
          <w:sz w:val="24"/>
        </w:rPr>
        <w:t>Quel est l'état de la documentation numérique des objets et des généalogies de la Maison Foudjem ?</w:t>
      </w:r>
    </w:p>
    <w:p>
      <w:pPr>
        <w:pStyle w:val="ListBullet"/>
        <w:spacing w:after="120"/>
        <w:ind w:left="567"/>
        <w:jc w:val="both"/>
      </w:pPr>
      <w:r>
        <w:rPr>
          <w:rFonts w:ascii="Times New Roman" w:hAnsi="Times New Roman"/>
          <w:sz w:val="24"/>
        </w:rPr>
        <w:t>En quoi l'absence d'un dispositif numérique de médiation limite-t-elle l'accès du public au patrimoine et la valorisation économique du fonds ?</w:t>
      </w:r>
    </w:p>
    <w:p>
      <w:pPr>
        <w:spacing w:before="360" w:after="120"/>
        <w:jc w:val="left"/>
      </w:pPr>
      <w:r>
        <w:rPr>
          <w:rFonts w:ascii="Times New Roman" w:hAnsi="Times New Roman"/>
          <w:b/>
          <w:sz w:val="26"/>
        </w:rPr>
        <w:t>3. Hypothèses de l'étude</w:t>
      </w:r>
    </w:p>
    <w:p>
      <w:pPr>
        <w:spacing w:before="240" w:after="120"/>
        <w:jc w:val="left"/>
      </w:pPr>
      <w:r>
        <w:rPr>
          <w:rFonts w:ascii="Times New Roman" w:hAnsi="Times New Roman"/>
          <w:b/>
          <w:i/>
          <w:sz w:val="24"/>
        </w:rPr>
        <w:t>3.1. Hypothèse générale</w:t>
      </w:r>
    </w:p>
    <w:p>
      <w:pPr>
        <w:jc w:val="both"/>
      </w:pPr>
      <w:r>
        <w:rPr>
          <w:rFonts w:ascii="Times New Roman" w:hAnsi="Times New Roman"/>
          <w:b w:val="0"/>
          <w:i w:val="0"/>
          <w:sz w:val="24"/>
        </w:rPr>
        <w:t>À la Maison Foudjem, le patrimoine demeure faiblement accessible et faiblement valorisé parce que la documentation des collections repose sur des supports analogiques et sur la mémoire des personnes, et parce que la médiation dépend de la coprésence physique d'un visiteur et d'un guide ; l'absence d'un système d'information restituant les objets et leurs généalogies prive le fonds d'une audience à distance et le musée d'une ressource associée à cette audience.</w:t>
      </w:r>
    </w:p>
    <w:p>
      <w:pPr>
        <w:spacing w:before="240" w:after="120"/>
        <w:jc w:val="left"/>
      </w:pPr>
      <w:r>
        <w:rPr>
          <w:rFonts w:ascii="Times New Roman" w:hAnsi="Times New Roman"/>
          <w:b/>
          <w:i/>
          <w:sz w:val="24"/>
        </w:rPr>
        <w:t>3.2. Hypothèses spécifiques</w:t>
      </w:r>
    </w:p>
    <w:p>
      <w:pPr>
        <w:pStyle w:val="ListBullet"/>
        <w:spacing w:after="120"/>
        <w:ind w:left="567"/>
        <w:jc w:val="both"/>
      </w:pPr>
      <w:r>
        <w:rPr>
          <w:rFonts w:ascii="Times New Roman" w:hAnsi="Times New Roman"/>
          <w:sz w:val="24"/>
        </w:rPr>
        <w:t>H1 : Les dispositifs de documentation et de médiation actuellement en usage à la Maison Foudjem sont fondés sur des supports analogiques et sur la transmission orale, ce qui limite leur portée au public physiquement présent.</w:t>
      </w:r>
    </w:p>
    <w:p>
      <w:pPr>
        <w:pStyle w:val="ListBullet"/>
        <w:spacing w:after="120"/>
        <w:ind w:left="567"/>
        <w:jc w:val="both"/>
      </w:pPr>
      <w:r>
        <w:rPr>
          <w:rFonts w:ascii="Times New Roman" w:hAnsi="Times New Roman"/>
          <w:sz w:val="24"/>
        </w:rPr>
        <w:t>H2 : La documentation numérique des objets et des généalogies de la Maison Foudjem est partielle et non structurée, ce qui empêche toute restitution en ligne cohérente du lien entre un objet et son souverain.</w:t>
      </w:r>
    </w:p>
    <w:p>
      <w:pPr>
        <w:pStyle w:val="ListBullet"/>
        <w:spacing w:after="120"/>
        <w:ind w:left="567"/>
        <w:jc w:val="both"/>
      </w:pPr>
      <w:r>
        <w:rPr>
          <w:rFonts w:ascii="Times New Roman" w:hAnsi="Times New Roman"/>
          <w:sz w:val="24"/>
        </w:rPr>
        <w:t>H3 : L'absence d'un dispositif numérique de médiation réduit l'audience du fonds au public local et prive la Fondation d'une source de revenus liée à la consultation à distance du patrimoine.</w:t>
      </w:r>
    </w:p>
    <w:p>
      <w:pPr>
        <w:spacing w:before="360" w:after="120"/>
        <w:jc w:val="left"/>
      </w:pPr>
      <w:r>
        <w:rPr>
          <w:rFonts w:ascii="Times New Roman" w:hAnsi="Times New Roman"/>
          <w:b/>
          <w:sz w:val="26"/>
        </w:rPr>
        <w:t>4. Objectifs de l'étude</w:t>
      </w:r>
    </w:p>
    <w:p>
      <w:pPr>
        <w:spacing w:before="240" w:after="120"/>
        <w:jc w:val="left"/>
      </w:pPr>
      <w:r>
        <w:rPr>
          <w:rFonts w:ascii="Times New Roman" w:hAnsi="Times New Roman"/>
          <w:b/>
          <w:i/>
          <w:sz w:val="24"/>
        </w:rPr>
        <w:t>4.1. Objectif général</w:t>
      </w:r>
    </w:p>
    <w:p>
      <w:pPr>
        <w:pStyle w:val="ListBullet"/>
        <w:spacing w:after="120"/>
        <w:ind w:left="567"/>
        <w:jc w:val="both"/>
      </w:pPr>
      <w:r>
        <w:rPr>
          <w:rFonts w:ascii="Times New Roman" w:hAnsi="Times New Roman"/>
          <w:sz w:val="24"/>
        </w:rPr>
        <w:t>Connaître les causes de la faible accessibilité et de la faible valorisation du patrimoine conservé à la Maison Foudjem.</w:t>
      </w:r>
    </w:p>
    <w:p>
      <w:pPr>
        <w:spacing w:before="240" w:after="120"/>
        <w:jc w:val="left"/>
      </w:pPr>
      <w:r>
        <w:rPr>
          <w:rFonts w:ascii="Times New Roman" w:hAnsi="Times New Roman"/>
          <w:b/>
          <w:i/>
          <w:sz w:val="24"/>
        </w:rPr>
        <w:t>4.2. Objectifs spécifiques</w:t>
      </w:r>
    </w:p>
    <w:p>
      <w:pPr>
        <w:pStyle w:val="ListBullet"/>
        <w:spacing w:after="120"/>
        <w:ind w:left="567"/>
        <w:jc w:val="both"/>
      </w:pPr>
      <w:r>
        <w:rPr>
          <w:rFonts w:ascii="Times New Roman" w:hAnsi="Times New Roman"/>
          <w:sz w:val="24"/>
        </w:rPr>
        <w:t>Connaître les dispositifs de documentation et de médiation mis en œuvre à la Maison Foudjem et en évaluer les résultats.</w:t>
      </w:r>
    </w:p>
    <w:p>
      <w:pPr>
        <w:pStyle w:val="ListBullet"/>
        <w:spacing w:after="120"/>
        <w:ind w:left="567"/>
        <w:jc w:val="both"/>
      </w:pPr>
      <w:r>
        <w:rPr>
          <w:rFonts w:ascii="Times New Roman" w:hAnsi="Times New Roman"/>
          <w:sz w:val="24"/>
        </w:rPr>
        <w:t>Évaluer l'état de la documentation numérique des objets et des généalogies de la Maison Foudjem.</w:t>
      </w:r>
    </w:p>
    <w:p>
      <w:pPr>
        <w:pStyle w:val="ListBullet"/>
        <w:spacing w:after="120"/>
        <w:ind w:left="567"/>
        <w:jc w:val="both"/>
      </w:pPr>
      <w:r>
        <w:rPr>
          <w:rFonts w:ascii="Times New Roman" w:hAnsi="Times New Roman"/>
          <w:sz w:val="24"/>
        </w:rPr>
        <w:t>Analyser le lien entre l'absence d'un dispositif numérique de médiation, l'audience du fonds et sa valorisation économique.</w:t>
      </w:r>
    </w:p>
    <w:p>
      <w:pPr>
        <w:spacing w:before="360" w:after="120"/>
        <w:jc w:val="left"/>
      </w:pPr>
      <w:r>
        <w:rPr>
          <w:rFonts w:ascii="Times New Roman" w:hAnsi="Times New Roman"/>
          <w:b/>
          <w:sz w:val="26"/>
        </w:rPr>
        <w:t>5. Justification de l'étude</w:t>
      </w:r>
    </w:p>
    <w:p>
      <w:pPr>
        <w:spacing w:before="240" w:after="120"/>
        <w:jc w:val="left"/>
      </w:pPr>
      <w:r>
        <w:rPr>
          <w:rFonts w:ascii="Times New Roman" w:hAnsi="Times New Roman"/>
          <w:b/>
          <w:i/>
          <w:sz w:val="24"/>
        </w:rPr>
        <w:t>5.1. Au plan scientifique</w:t>
      </w:r>
    </w:p>
    <w:p>
      <w:pPr>
        <w:jc w:val="both"/>
      </w:pPr>
      <w:r>
        <w:rPr>
          <w:rFonts w:ascii="Times New Roman" w:hAnsi="Times New Roman"/>
          <w:b w:val="0"/>
          <w:i w:val="0"/>
          <w:sz w:val="24"/>
        </w:rPr>
        <w:t>La médiation numérique du patrimoine est un champ documenté, mais les travaux portent majoritairement sur les grandes institutions muséales occidentales. Les musées de chefferie d'Afrique centrale, dont le fonctionnement repose sur l'articulation entre l'objet et la lignée, restent peu étudiés sous cet angle. Cette étude apporte une connaissance située sur les causes de la faible diffusion d'un fonds patrimonial dans ce contexte précis. Elle documente en outre une articulation peu traitée dans la littérature : celle qui relie la collection muséale à la structure généalogique qui lui donne son sens, et qui conditionne la conception de tout dispositif de médiation adapté à ces musées.</w:t>
      </w:r>
    </w:p>
    <w:p>
      <w:pPr>
        <w:spacing w:before="240" w:after="120"/>
        <w:jc w:val="left"/>
      </w:pPr>
      <w:r>
        <w:rPr>
          <w:rFonts w:ascii="Times New Roman" w:hAnsi="Times New Roman"/>
          <w:b/>
          <w:i/>
          <w:sz w:val="24"/>
        </w:rPr>
        <w:t>5.2. Au plan pratique</w:t>
      </w:r>
    </w:p>
    <w:p>
      <w:pPr>
        <w:jc w:val="both"/>
      </w:pPr>
      <w:r>
        <w:rPr>
          <w:rFonts w:ascii="Times New Roman" w:hAnsi="Times New Roman"/>
          <w:b w:val="0"/>
          <w:i w:val="0"/>
          <w:sz w:val="24"/>
        </w:rPr>
        <w:t>Sur le plan pratique, l'étude fournit à la Fondation Jean Félicien Gacha un diagnostic des causes de la faible audience de la Maison Foudjem, appuyé sur des observations de terrain. Elle débouche sur une proposition d'intervention dont la faisabilité est établie par un prototype fonctionnel. Les enseignements tirés sont transposables aux autres musées de chefferie confrontés à la même situation, ainsi qu'aux acteurs publics et privés engagés dans la valorisation du patrimoine culturel camerounais.</w:t>
      </w:r>
    </w:p>
    <w:p>
      <w:pPr>
        <w:spacing w:before="360" w:after="120"/>
        <w:jc w:val="left"/>
      </w:pPr>
      <w:r>
        <w:rPr>
          <w:rFonts w:ascii="Times New Roman" w:hAnsi="Times New Roman"/>
          <w:b/>
          <w:sz w:val="26"/>
        </w:rPr>
        <w:t>6. Délimitation de l'étude</w:t>
      </w:r>
    </w:p>
    <w:p>
      <w:pPr>
        <w:spacing w:before="240" w:after="120"/>
        <w:jc w:val="left"/>
      </w:pPr>
      <w:r>
        <w:rPr>
          <w:rFonts w:ascii="Times New Roman" w:hAnsi="Times New Roman"/>
          <w:b/>
          <w:i/>
          <w:sz w:val="24"/>
        </w:rPr>
        <w:t>6.1. Délimitation géographique</w:t>
      </w:r>
    </w:p>
    <w:p>
      <w:pPr>
        <w:jc w:val="both"/>
      </w:pPr>
      <w:r>
        <w:rPr>
          <w:rFonts w:ascii="Times New Roman" w:hAnsi="Times New Roman"/>
          <w:b w:val="0"/>
          <w:i w:val="0"/>
          <w:sz w:val="24"/>
        </w:rPr>
        <w:t>L'étude est circonscrite à la Maison Foudjem, musée de la Fondation Jean Félicien Gacha, au Cameroun. Elle ne prétend pas couvrir l'ensemble des musées de chefferie du pays : les conclusions valent pour ce site, et leur transposition à d'autres structures suppose des vérifications préalables.</w:t>
      </w:r>
    </w:p>
    <w:p>
      <w:pPr>
        <w:spacing w:before="240" w:after="120"/>
        <w:jc w:val="left"/>
      </w:pPr>
      <w:r>
        <w:rPr>
          <w:rFonts w:ascii="Times New Roman" w:hAnsi="Times New Roman"/>
          <w:b/>
          <w:i/>
          <w:sz w:val="24"/>
        </w:rPr>
        <w:t>6.2. Délimitation temporelle</w:t>
      </w:r>
    </w:p>
    <w:p>
      <w:pPr>
        <w:jc w:val="both"/>
      </w:pPr>
      <w:r>
        <w:rPr>
          <w:rFonts w:ascii="Times New Roman" w:hAnsi="Times New Roman"/>
          <w:b w:val="0"/>
          <w:i w:val="0"/>
          <w:sz w:val="24"/>
        </w:rPr>
        <w:t>Les données ont été collectées durant la période de stage effectuée à la Maison Foudjem au cours de l'année académique 2025-2026. [Préciser les dates exactes de début et de fin du stage.] L'analyse porte sur la situation observée pendant cette période.</w:t>
      </w:r>
    </w:p>
    <w:p>
      <w:pPr>
        <w:spacing w:before="240" w:after="120"/>
        <w:jc w:val="left"/>
      </w:pPr>
      <w:r>
        <w:rPr>
          <w:rFonts w:ascii="Times New Roman" w:hAnsi="Times New Roman"/>
          <w:b/>
          <w:i/>
          <w:sz w:val="24"/>
        </w:rPr>
        <w:t>6.3. Délimitation thématique et conceptuelle</w:t>
      </w:r>
    </w:p>
    <w:p>
      <w:pPr>
        <w:jc w:val="both"/>
      </w:pPr>
      <w:r>
        <w:rPr>
          <w:rFonts w:ascii="Times New Roman" w:hAnsi="Times New Roman"/>
          <w:b w:val="0"/>
          <w:i w:val="0"/>
          <w:sz w:val="24"/>
        </w:rPr>
        <w:t>L'étude porte sur la médiation numérique du patrimoine, entendue comme l'ensemble des dispositifs techniques permettant de documenter, de restituer et de raconter un fonds patrimonial à un public, sur un support numérique. Elle retient quatre dimensions : la documentation des collections, la médiation, l'accessibilité du public et la valorisation économique. Sont écartées les questions de conservation matérielle des objets, de restauration, de statut juridique des biens et de politique culturelle nationale, qui relèvent d'autres disciplines.</w:t>
      </w:r>
    </w:p>
    <w:p>
      <w:pPr>
        <w:spacing w:before="240" w:after="120"/>
        <w:jc w:val="left"/>
      </w:pPr>
      <w:r>
        <w:rPr>
          <w:rFonts w:ascii="Times New Roman" w:hAnsi="Times New Roman"/>
          <w:b/>
          <w:i/>
          <w:sz w:val="24"/>
        </w:rPr>
        <w:t>6.4. Délimitation de la population</w:t>
      </w:r>
    </w:p>
    <w:p>
      <w:pPr>
        <w:jc w:val="both"/>
      </w:pPr>
      <w:r>
        <w:rPr>
          <w:rFonts w:ascii="Times New Roman" w:hAnsi="Times New Roman"/>
          <w:b w:val="0"/>
          <w:i w:val="0"/>
          <w:sz w:val="24"/>
        </w:rPr>
        <w:t>La population de l'étude est constituée du fonds patrimonial de la Maison Foudjem — objets et lignées documentées — ainsi que du personnel de la Fondation intervenant dans sa conservation et sa médiation. Les visiteurs occasionnels n'ont pas été enquêtés de manière systématique, ce qui limite la portée des conclusions relatives à la réception du public.</w:t>
      </w:r>
    </w:p>
    <w:p>
      <w:pPr>
        <w:spacing w:before="360" w:after="120"/>
        <w:jc w:val="left"/>
      </w:pPr>
      <w:r>
        <w:rPr>
          <w:rFonts w:ascii="Times New Roman" w:hAnsi="Times New Roman"/>
          <w:b/>
          <w:sz w:val="26"/>
        </w:rPr>
        <w:t>7. Plan du rapport</w:t>
      </w:r>
    </w:p>
    <w:p>
      <w:pPr>
        <w:jc w:val="both"/>
      </w:pPr>
      <w:r>
        <w:rPr>
          <w:rFonts w:ascii="Times New Roman" w:hAnsi="Times New Roman"/>
          <w:b w:val="0"/>
          <w:i w:val="0"/>
          <w:sz w:val="24"/>
        </w:rPr>
        <w:t>Ce rapport est organisé en quatre chapitres. Le premier expose le cadre conceptuel et l'état de l'art : il clarifie les notions de patrimoine culturel, de médiation numérique, de généalogie et de valorisation, et situe l'étude au regard des travaux existants. Le deuxième présente la méthodologie retenue : nature de l'étude, variables et indicateurs, population, échantillonnage et outils de collecte. Le troisième présente le site de l'étude — la Maison Foudjem — ainsi que les données collectées et les résultats obtenus, y compris l'implémentation réalisée. Le quatrième établit le diagnostic de la situation, vérifie les hypothèses et présente l'intervention proposée ainsi que sa justification. Une conclusion générale rappelle les apports du travail et ouvre des perspectives.</w:t>
      </w:r>
    </w:p>
    <w:sectPr w:rsidR="00FC693F" w:rsidRPr="0006063C" w:rsidSect="00034616">
      <w:footerReference w:type="default" r:id="rId11"/>
      <w:pgSz w:w="11906" w:h="16838"/>
      <w:pgMar w:top="1417" w:right="1417" w:bottom="1417"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