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6C8C" w14:textId="77777777" w:rsidR="00D11206" w:rsidRPr="00860BE1" w:rsidRDefault="00000000">
      <w:pPr>
        <w:pStyle w:val="1"/>
        <w:divId w:val="1907061393"/>
        <w:rPr>
          <w:rFonts w:ascii="Open Sans" w:hAnsi="Open Sans" w:cs="Open Sans"/>
          <w:color w:val="333333"/>
          <w:sz w:val="48"/>
          <w:szCs w:val="48"/>
        </w:rPr>
      </w:pPr>
      <w:r w:rsidRPr="00860BE1">
        <w:rPr>
          <w:rFonts w:ascii="Open Sans" w:hAnsi="Open Sans" w:cs="Open Sans"/>
          <w:color w:val="333333"/>
          <w:sz w:val="48"/>
          <w:szCs w:val="48"/>
        </w:rPr>
        <w:t>个性化旅游推荐系统</w:t>
      </w:r>
      <w:r w:rsidRPr="00860BE1">
        <w:rPr>
          <w:rFonts w:ascii="Open Sans" w:hAnsi="Open Sans" w:cs="Open Sans"/>
          <w:color w:val="333333"/>
          <w:sz w:val="48"/>
          <w:szCs w:val="48"/>
        </w:rPr>
        <w:t xml:space="preserve"> - </w:t>
      </w:r>
      <w:r w:rsidRPr="00860BE1">
        <w:rPr>
          <w:rFonts w:ascii="Open Sans" w:hAnsi="Open Sans" w:cs="Open Sans"/>
          <w:color w:val="333333"/>
          <w:sz w:val="48"/>
          <w:szCs w:val="48"/>
        </w:rPr>
        <w:t>第六周工作周报</w:t>
      </w:r>
    </w:p>
    <w:p w14:paraId="77550E5F" w14:textId="77777777" w:rsidR="00D11206" w:rsidRDefault="00000000">
      <w:pPr>
        <w:pStyle w:val="a6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成员：陈逸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程小路</w:t>
      </w:r>
    </w:p>
    <w:p w14:paraId="151558B6" w14:textId="77777777" w:rsidR="00D11206" w:rsidRDefault="00000000">
      <w:pPr>
        <w:pStyle w:val="2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 </w:t>
      </w:r>
      <w:r>
        <w:rPr>
          <w:rFonts w:ascii="Open Sans" w:hAnsi="Open Sans" w:cs="Open Sans"/>
          <w:color w:val="333333"/>
        </w:rPr>
        <w:t>第六周（</w:t>
      </w:r>
      <w:r>
        <w:rPr>
          <w:rFonts w:ascii="Open Sans" w:hAnsi="Open Sans" w:cs="Open Sans"/>
          <w:color w:val="333333"/>
        </w:rPr>
        <w:t xml:space="preserve">2026-04-06 </w:t>
      </w:r>
      <w:r>
        <w:rPr>
          <w:rFonts w:ascii="Open Sans" w:hAnsi="Open Sans" w:cs="Open Sans"/>
          <w:color w:val="333333"/>
        </w:rPr>
        <w:t>至</w:t>
      </w:r>
      <w:r>
        <w:rPr>
          <w:rFonts w:ascii="Open Sans" w:hAnsi="Open Sans" w:cs="Open Sans"/>
          <w:color w:val="333333"/>
        </w:rPr>
        <w:t xml:space="preserve"> 2026-04-12</w:t>
      </w:r>
      <w:r>
        <w:rPr>
          <w:rFonts w:ascii="Open Sans" w:hAnsi="Open Sans" w:cs="Open Sans"/>
          <w:color w:val="333333"/>
        </w:rPr>
        <w:t>）：设计冻结后的首轮开发迭代，设计方案讲解</w:t>
      </w:r>
    </w:p>
    <w:p w14:paraId="6EF8FDE1" w14:textId="77777777" w:rsidR="00D11206" w:rsidRDefault="00000000">
      <w:pPr>
        <w:pStyle w:val="3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1.1 </w:t>
      </w:r>
      <w:r>
        <w:rPr>
          <w:rFonts w:ascii="Open Sans" w:hAnsi="Open Sans" w:cs="Open Sans"/>
          <w:color w:val="333333"/>
        </w:rPr>
        <w:t>工作目标</w:t>
      </w:r>
    </w:p>
    <w:p w14:paraId="613090AE" w14:textId="77777777" w:rsidR="00D11206" w:rsidRDefault="00000000">
      <w:pPr>
        <w:pStyle w:val="a6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本周重点为：</w:t>
      </w:r>
    </w:p>
    <w:p w14:paraId="1F2B4B70" w14:textId="77777777" w:rsidR="00D11206" w:rsidRDefault="00000000">
      <w:pPr>
        <w:pStyle w:val="a6"/>
        <w:numPr>
          <w:ilvl w:val="0"/>
          <w:numId w:val="1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按教学节点要求，交付并讲解《设计方案讲解材料》，对齐《项目计划书》中「冻结技术方案与模块边界」目标，收束总体架构、模块边界、接口契约、数据模型及</w:t>
      </w:r>
      <w:r>
        <w:rPr>
          <w:rFonts w:ascii="Open Sans" w:hAnsi="Open Sans" w:cs="Open Sans"/>
          <w:color w:val="333333"/>
        </w:rPr>
        <w:t xml:space="preserve"> My* </w:t>
      </w:r>
      <w:r>
        <w:rPr>
          <w:rFonts w:ascii="Open Sans" w:hAnsi="Open Sans" w:cs="Open Sans"/>
          <w:color w:val="333333"/>
        </w:rPr>
        <w:t>结构与课程约束说明。</w:t>
      </w:r>
    </w:p>
    <w:p w14:paraId="5AF9D490" w14:textId="77777777" w:rsidR="00D11206" w:rsidRDefault="00000000">
      <w:pPr>
        <w:pStyle w:val="a6"/>
        <w:numPr>
          <w:ilvl w:val="0"/>
          <w:numId w:val="1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在后端持续推进自定义数据结构（</w:t>
      </w:r>
      <w:proofErr w:type="spellStart"/>
      <w:r>
        <w:rPr>
          <w:rFonts w:ascii="Open Sans" w:hAnsi="Open Sans" w:cs="Open Sans"/>
          <w:color w:val="333333"/>
        </w:rPr>
        <w:t>MyList</w:t>
      </w:r>
      <w:proofErr w:type="spellEnd"/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Fonts w:ascii="Open Sans" w:hAnsi="Open Sans" w:cs="Open Sans"/>
          <w:color w:val="333333"/>
        </w:rPr>
        <w:t>MyMap</w:t>
      </w:r>
      <w:proofErr w:type="spellEnd"/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Fonts w:ascii="Open Sans" w:hAnsi="Open Sans" w:cs="Open Sans"/>
          <w:color w:val="333333"/>
        </w:rPr>
        <w:t>MySet</w:t>
      </w:r>
      <w:proofErr w:type="spellEnd"/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Fonts w:ascii="Open Sans" w:hAnsi="Open Sans" w:cs="Open Sans"/>
          <w:color w:val="333333"/>
        </w:rPr>
        <w:t>MyPriorityQueue</w:t>
      </w:r>
      <w:proofErr w:type="spellEnd"/>
      <w:r>
        <w:rPr>
          <w:rFonts w:ascii="Open Sans" w:hAnsi="Open Sans" w:cs="Open Sans"/>
          <w:color w:val="333333"/>
        </w:rPr>
        <w:t>）与核心服务的结合，并完成基础自测与编译验证。</w:t>
      </w:r>
    </w:p>
    <w:p w14:paraId="3D5C8017" w14:textId="77777777" w:rsidR="00D11206" w:rsidRDefault="00000000">
      <w:pPr>
        <w:pStyle w:val="a6"/>
        <w:numPr>
          <w:ilvl w:val="0"/>
          <w:numId w:val="1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保证鉴权、推荐等基础接口在</w:t>
      </w:r>
      <w:r>
        <w:rPr>
          <w:rFonts w:ascii="Open Sans" w:hAnsi="Open Sans" w:cs="Open Sans"/>
          <w:color w:val="333333"/>
        </w:rPr>
        <w:t xml:space="preserve"> dev-seed / </w:t>
      </w:r>
      <w:r>
        <w:rPr>
          <w:rFonts w:ascii="Open Sans" w:hAnsi="Open Sans" w:cs="Open Sans"/>
          <w:color w:val="333333"/>
        </w:rPr>
        <w:t>放行模式下可稳定调用，接口响应满足统一的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code</w:t>
      </w:r>
      <w:r>
        <w:rPr>
          <w:rFonts w:ascii="Open Sans" w:hAnsi="Open Sans" w:cs="Open Sans"/>
          <w:color w:val="333333"/>
        </w:rPr>
        <w:t xml:space="preserve"> / </w:t>
      </w:r>
      <w:r>
        <w:rPr>
          <w:rStyle w:val="HTML"/>
          <w:color w:val="333333"/>
        </w:rPr>
        <w:t>data</w:t>
      </w:r>
      <w:r>
        <w:rPr>
          <w:rFonts w:ascii="Open Sans" w:hAnsi="Open Sans" w:cs="Open Sans"/>
          <w:color w:val="333333"/>
        </w:rPr>
        <w:t xml:space="preserve"> / </w:t>
      </w:r>
      <w:r>
        <w:rPr>
          <w:rStyle w:val="HTML"/>
          <w:color w:val="333333"/>
        </w:rPr>
        <w:t>message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约定。</w:t>
      </w:r>
    </w:p>
    <w:p w14:paraId="20AABBCA" w14:textId="77777777" w:rsidR="00D11206" w:rsidRDefault="00000000">
      <w:pPr>
        <w:pStyle w:val="a6"/>
        <w:numPr>
          <w:ilvl w:val="0"/>
          <w:numId w:val="1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前端巩固登录态与主链路页面框架，完成与路线规划、地图展示相关的高频联调项。</w:t>
      </w:r>
    </w:p>
    <w:p w14:paraId="50F2E828" w14:textId="77777777" w:rsidR="00D11206" w:rsidRDefault="00000000">
      <w:pPr>
        <w:pStyle w:val="a6"/>
        <w:numPr>
          <w:ilvl w:val="0"/>
          <w:numId w:val="1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管理端与</w:t>
      </w:r>
      <w:r>
        <w:rPr>
          <w:rFonts w:ascii="Open Sans" w:hAnsi="Open Sans" w:cs="Open Sans"/>
          <w:color w:val="333333"/>
        </w:rPr>
        <w:t xml:space="preserve"> OSM </w:t>
      </w:r>
      <w:r>
        <w:rPr>
          <w:rFonts w:ascii="Open Sans" w:hAnsi="Open Sans" w:cs="Open Sans"/>
          <w:color w:val="333333"/>
        </w:rPr>
        <w:t>生成链路在真实数据场景下可复用、可回归，降低后续迭代返工成本。</w:t>
      </w:r>
    </w:p>
    <w:p w14:paraId="11C13414" w14:textId="77777777" w:rsidR="00D11206" w:rsidRDefault="00000000">
      <w:pPr>
        <w:pStyle w:val="3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 </w:t>
      </w:r>
      <w:r>
        <w:rPr>
          <w:rFonts w:ascii="Open Sans" w:hAnsi="Open Sans" w:cs="Open Sans"/>
          <w:color w:val="333333"/>
        </w:rPr>
        <w:t>具体完成工作</w:t>
      </w:r>
    </w:p>
    <w:p w14:paraId="3BF7AC2C" w14:textId="77777777" w:rsidR="00D11206" w:rsidRDefault="00000000">
      <w:pPr>
        <w:pStyle w:val="4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1.2.1 </w:t>
      </w:r>
      <w:r>
        <w:rPr>
          <w:rFonts w:ascii="Open Sans" w:hAnsi="Open Sans" w:cs="Open Sans"/>
          <w:color w:val="333333"/>
        </w:rPr>
        <w:t>设计方案讲解（教学节点）</w:t>
      </w:r>
    </w:p>
    <w:p w14:paraId="2794E3B6" w14:textId="77777777" w:rsidR="00D11206" w:rsidRDefault="00000000">
      <w:pPr>
        <w:pStyle w:val="a6"/>
        <w:numPr>
          <w:ilvl w:val="0"/>
          <w:numId w:val="2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依据《项目计划书》教学节点对齐表第</w:t>
      </w:r>
      <w:r>
        <w:rPr>
          <w:rFonts w:ascii="Open Sans" w:hAnsi="Open Sans" w:cs="Open Sans"/>
          <w:color w:val="333333"/>
        </w:rPr>
        <w:t xml:space="preserve"> 5 </w:t>
      </w:r>
      <w:r>
        <w:rPr>
          <w:rFonts w:ascii="Open Sans" w:hAnsi="Open Sans" w:cs="Open Sans"/>
          <w:color w:val="333333"/>
        </w:rPr>
        <w:t>周要求，补充并完成</w:t>
      </w:r>
      <w:r>
        <w:rPr>
          <w:rStyle w:val="a5"/>
          <w:rFonts w:ascii="Open Sans" w:hAnsi="Open Sans" w:cs="Open Sans"/>
          <w:color w:val="333333"/>
        </w:rPr>
        <w:t>设计方案讲解</w:t>
      </w:r>
      <w:r>
        <w:rPr>
          <w:rFonts w:ascii="Open Sans" w:hAnsi="Open Sans" w:cs="Open Sans"/>
          <w:color w:val="333333"/>
        </w:rPr>
        <w:t>环节。</w:t>
      </w:r>
    </w:p>
    <w:p w14:paraId="15F07AC9" w14:textId="77777777" w:rsidR="00D11206" w:rsidRDefault="00000000">
      <w:pPr>
        <w:pStyle w:val="a6"/>
        <w:numPr>
          <w:ilvl w:val="0"/>
          <w:numId w:val="2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讲解材料覆盖：前后端分离架构与模块划分、核心接口契约与统一响应结构（</w:t>
      </w:r>
      <w:r>
        <w:rPr>
          <w:rStyle w:val="HTML"/>
          <w:color w:val="333333"/>
        </w:rPr>
        <w:t>code</w:t>
      </w:r>
      <w:r>
        <w:rPr>
          <w:rFonts w:ascii="Open Sans" w:hAnsi="Open Sans" w:cs="Open Sans"/>
          <w:color w:val="333333"/>
        </w:rPr>
        <w:t xml:space="preserve"> / </w:t>
      </w:r>
      <w:r>
        <w:rPr>
          <w:rStyle w:val="HTML"/>
          <w:color w:val="333333"/>
        </w:rPr>
        <w:t>data</w:t>
      </w:r>
      <w:r>
        <w:rPr>
          <w:rFonts w:ascii="Open Sans" w:hAnsi="Open Sans" w:cs="Open Sans"/>
          <w:color w:val="333333"/>
        </w:rPr>
        <w:t xml:space="preserve"> / </w:t>
      </w:r>
      <w:r>
        <w:rPr>
          <w:rStyle w:val="HTML"/>
          <w:color w:val="333333"/>
        </w:rPr>
        <w:t>message</w:t>
      </w:r>
      <w:r>
        <w:rPr>
          <w:rFonts w:ascii="Open Sans" w:hAnsi="Open Sans" w:cs="Open Sans"/>
          <w:color w:val="333333"/>
        </w:rPr>
        <w:t>）、内存预加载与检索约束（不在</w:t>
      </w:r>
      <w:r>
        <w:rPr>
          <w:rFonts w:ascii="Open Sans" w:hAnsi="Open Sans" w:cs="Open Sans"/>
          <w:color w:val="333333"/>
        </w:rPr>
        <w:t xml:space="preserve"> SQL </w:t>
      </w:r>
      <w:proofErr w:type="gramStart"/>
      <w:r>
        <w:rPr>
          <w:rFonts w:ascii="Open Sans" w:hAnsi="Open Sans" w:cs="Open Sans"/>
          <w:color w:val="333333"/>
        </w:rPr>
        <w:t>层完成</w:t>
      </w:r>
      <w:proofErr w:type="gramEnd"/>
      <w:r>
        <w:rPr>
          <w:rFonts w:ascii="Open Sans" w:hAnsi="Open Sans" w:cs="Open Sans"/>
          <w:color w:val="333333"/>
        </w:rPr>
        <w:t>检索计算）、自定义数据结构（</w:t>
      </w:r>
      <w:proofErr w:type="spellStart"/>
      <w:r>
        <w:rPr>
          <w:rFonts w:ascii="Open Sans" w:hAnsi="Open Sans" w:cs="Open Sans"/>
          <w:color w:val="333333"/>
        </w:rPr>
        <w:t>MyList</w:t>
      </w:r>
      <w:proofErr w:type="spellEnd"/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Fonts w:ascii="Open Sans" w:hAnsi="Open Sans" w:cs="Open Sans"/>
          <w:color w:val="333333"/>
        </w:rPr>
        <w:t>MyMap</w:t>
      </w:r>
      <w:proofErr w:type="spellEnd"/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Fonts w:ascii="Open Sans" w:hAnsi="Open Sans" w:cs="Open Sans"/>
          <w:color w:val="333333"/>
        </w:rPr>
        <w:t>MySet</w:t>
      </w:r>
      <w:proofErr w:type="spellEnd"/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Fonts w:ascii="Open Sans" w:hAnsi="Open Sans" w:cs="Open Sans"/>
          <w:color w:val="333333"/>
        </w:rPr>
        <w:t>MyPriorityQueue</w:t>
      </w:r>
      <w:proofErr w:type="spellEnd"/>
      <w:r>
        <w:rPr>
          <w:rFonts w:ascii="Open Sans" w:hAnsi="Open Sans" w:cs="Open Sans"/>
          <w:color w:val="333333"/>
        </w:rPr>
        <w:t>）在算法模块中的定位，以及路线规划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/>
          <w:color w:val="333333"/>
        </w:rPr>
        <w:t>推荐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/>
          <w:color w:val="333333"/>
        </w:rPr>
        <w:t>日记等业务边界与暂缓项。</w:t>
      </w:r>
    </w:p>
    <w:p w14:paraId="45A3374D" w14:textId="77777777" w:rsidR="00D11206" w:rsidRDefault="00000000">
      <w:pPr>
        <w:pStyle w:val="a6"/>
        <w:numPr>
          <w:ilvl w:val="0"/>
          <w:numId w:val="2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结合《技术设计文档》与需求文档中的</w:t>
      </w:r>
      <w:r>
        <w:rPr>
          <w:rFonts w:ascii="Open Sans" w:hAnsi="Open Sans" w:cs="Open Sans"/>
          <w:color w:val="333333"/>
        </w:rPr>
        <w:t xml:space="preserve"> FR </w:t>
      </w:r>
      <w:r>
        <w:rPr>
          <w:rFonts w:ascii="Open Sans" w:hAnsi="Open Sans" w:cs="Open Sans"/>
          <w:color w:val="333333"/>
        </w:rPr>
        <w:t>映射进行现场说明，收集疑问与反馈，并将结论同步到后续开发与交接记录，作为技术方案冻结的验收佐证之一。</w:t>
      </w:r>
    </w:p>
    <w:p w14:paraId="218D6D5A" w14:textId="77777777" w:rsidR="00D11206" w:rsidRDefault="00000000">
      <w:pPr>
        <w:pStyle w:val="4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lastRenderedPageBreak/>
        <w:t xml:space="preserve">1.2.2 </w:t>
      </w:r>
      <w:r>
        <w:rPr>
          <w:rFonts w:ascii="Open Sans" w:hAnsi="Open Sans" w:cs="Open Sans"/>
          <w:color w:val="333333"/>
        </w:rPr>
        <w:t>路线规划与地图可视化联调</w:t>
      </w:r>
    </w:p>
    <w:p w14:paraId="49A8CA25" w14:textId="77777777" w:rsidR="00D11206" w:rsidRDefault="00000000">
      <w:pPr>
        <w:pStyle w:val="a6"/>
        <w:numPr>
          <w:ilvl w:val="0"/>
          <w:numId w:val="3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后端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GET /</w:t>
      </w:r>
      <w:proofErr w:type="spellStart"/>
      <w:r>
        <w:rPr>
          <w:rStyle w:val="HTML"/>
          <w:color w:val="333333"/>
        </w:rPr>
        <w:t>api</w:t>
      </w:r>
      <w:proofErr w:type="spellEnd"/>
      <w:r>
        <w:rPr>
          <w:rStyle w:val="HTML"/>
          <w:color w:val="333333"/>
        </w:rPr>
        <w:t>/route/map-data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增强：在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nodes</w:t>
      </w:r>
      <w:r>
        <w:rPr>
          <w:rFonts w:ascii="Open Sans" w:hAnsi="Open Sans" w:cs="Open Sans"/>
          <w:color w:val="333333"/>
        </w:rPr>
        <w:t xml:space="preserve"> / </w:t>
      </w:r>
      <w:r>
        <w:rPr>
          <w:rStyle w:val="HTML"/>
          <w:color w:val="333333"/>
        </w:rPr>
        <w:t>edges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之外补充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nodeDetails</w:t>
      </w:r>
      <w:proofErr w:type="spellEnd"/>
      <w:r>
        <w:rPr>
          <w:rFonts w:ascii="Open Sans" w:hAnsi="Open Sans" w:cs="Open Sans"/>
          <w:color w:val="333333"/>
        </w:rPr>
        <w:t>，返回节点关联建筑信息（名称、类型、位置、经纬度、</w:t>
      </w:r>
      <w:proofErr w:type="spellStart"/>
      <w:r>
        <w:rPr>
          <w:rStyle w:val="HTML"/>
          <w:color w:val="333333"/>
        </w:rPr>
        <w:t>areaId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等），支撑前端以业务语义选择起终点。</w:t>
      </w:r>
    </w:p>
    <w:p w14:paraId="6B5FCCF9" w14:textId="77777777" w:rsidR="00D11206" w:rsidRDefault="00000000">
      <w:pPr>
        <w:pStyle w:val="a6"/>
        <w:numPr>
          <w:ilvl w:val="0"/>
          <w:numId w:val="3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前端路线规划页改造：起点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/>
          <w:color w:val="333333"/>
        </w:rPr>
        <w:t>终点由手工输入节点</w:t>
      </w:r>
      <w:r>
        <w:rPr>
          <w:rFonts w:ascii="Open Sans" w:hAnsi="Open Sans" w:cs="Open Sans"/>
          <w:color w:val="333333"/>
        </w:rPr>
        <w:t xml:space="preserve"> ID </w:t>
      </w:r>
      <w:r>
        <w:rPr>
          <w:rFonts w:ascii="Open Sans" w:hAnsi="Open Sans" w:cs="Open Sans"/>
          <w:color w:val="333333"/>
        </w:rPr>
        <w:t>调整为「建筑下拉选择」；图节点标签展示为建筑名称；切换景区时自动刷新地图并重置起止点，避免跨景区误选。</w:t>
      </w:r>
    </w:p>
    <w:p w14:paraId="55475D00" w14:textId="77777777" w:rsidR="00D11206" w:rsidRDefault="00000000">
      <w:pPr>
        <w:pStyle w:val="a6"/>
        <w:numPr>
          <w:ilvl w:val="0"/>
          <w:numId w:val="3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路线图渲染策略调整：采用固定布局结合建筑经纬度映射，使拓扑相对位置更贴近真实地理关系；关闭节点拖拽，补充缺失坐标时的兜底布局，保证</w:t>
      </w:r>
      <w:proofErr w:type="gramStart"/>
      <w:r>
        <w:rPr>
          <w:rFonts w:ascii="Open Sans" w:hAnsi="Open Sans" w:cs="Open Sans"/>
          <w:color w:val="333333"/>
        </w:rPr>
        <w:t>弱数据下</w:t>
      </w:r>
      <w:proofErr w:type="gramEnd"/>
      <w:r>
        <w:rPr>
          <w:rFonts w:ascii="Open Sans" w:hAnsi="Open Sans" w:cs="Open Sans"/>
          <w:color w:val="333333"/>
        </w:rPr>
        <w:t>仍可展示。</w:t>
      </w:r>
    </w:p>
    <w:p w14:paraId="2DC79C3F" w14:textId="77777777" w:rsidR="00D11206" w:rsidRDefault="00000000">
      <w:pPr>
        <w:pStyle w:val="a6"/>
        <w:numPr>
          <w:ilvl w:val="0"/>
          <w:numId w:val="3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可读性优化：节点标签避让与样式增强（对比度、背景与边框）；节点与道路</w:t>
      </w:r>
      <w:r>
        <w:rPr>
          <w:rFonts w:ascii="Open Sans" w:hAnsi="Open Sans" w:cs="Open Sans"/>
          <w:color w:val="333333"/>
        </w:rPr>
        <w:t xml:space="preserve"> tooltip </w:t>
      </w:r>
      <w:r>
        <w:rPr>
          <w:rFonts w:ascii="Open Sans" w:hAnsi="Open Sans" w:cs="Open Sans"/>
          <w:color w:val="333333"/>
        </w:rPr>
        <w:t>展示关键业务字段（建筑类型中文映射、起终点、距离等）。</w:t>
      </w:r>
    </w:p>
    <w:p w14:paraId="5DC1EF28" w14:textId="77777777" w:rsidR="00D11206" w:rsidRDefault="00000000">
      <w:pPr>
        <w:pStyle w:val="4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1.2.3 OSM </w:t>
      </w:r>
      <w:r>
        <w:rPr>
          <w:rFonts w:ascii="Open Sans" w:hAnsi="Open Sans" w:cs="Open Sans"/>
          <w:color w:val="333333"/>
        </w:rPr>
        <w:t>数据生成与内存优化</w:t>
      </w:r>
    </w:p>
    <w:p w14:paraId="7400BC4D" w14:textId="77777777" w:rsidR="00D11206" w:rsidRDefault="00000000">
      <w:pPr>
        <w:pStyle w:val="a6"/>
        <w:numPr>
          <w:ilvl w:val="0"/>
          <w:numId w:val="4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优化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scripts/osm_seed.py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中道路虚拟节点（</w:t>
      </w:r>
      <w:r>
        <w:rPr>
          <w:rStyle w:val="HTML"/>
          <w:color w:val="333333"/>
        </w:rPr>
        <w:t>type=</w:t>
      </w:r>
      <w:proofErr w:type="spellStart"/>
      <w:r>
        <w:rPr>
          <w:rStyle w:val="HTML"/>
          <w:color w:val="333333"/>
        </w:rPr>
        <w:t>virtual_node</w:t>
      </w:r>
      <w:proofErr w:type="spellEnd"/>
      <w:r>
        <w:rPr>
          <w:rFonts w:ascii="Open Sans" w:hAnsi="Open Sans" w:cs="Open Sans"/>
          <w:color w:val="333333"/>
        </w:rPr>
        <w:t>）输出：移除非必要的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description</w:t>
      </w:r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Style w:val="HTML"/>
          <w:color w:val="333333"/>
        </w:rPr>
        <w:t>createTime</w:t>
      </w:r>
      <w:proofErr w:type="spellEnd"/>
      <w:r>
        <w:rPr>
          <w:rFonts w:ascii="Open Sans" w:hAnsi="Open Sans" w:cs="Open Sans"/>
          <w:color w:val="333333"/>
        </w:rPr>
        <w:t xml:space="preserve"> / </w:t>
      </w:r>
      <w:proofErr w:type="spellStart"/>
      <w:r>
        <w:rPr>
          <w:rStyle w:val="HTML"/>
          <w:color w:val="333333"/>
        </w:rPr>
        <w:t>updateTime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字段，保留定位与关联所需字段，降低运行时内存占用与序列化成本。</w:t>
      </w:r>
    </w:p>
    <w:p w14:paraId="5B44CFF4" w14:textId="77777777" w:rsidR="00D11206" w:rsidRDefault="00000000">
      <w:pPr>
        <w:pStyle w:val="a6"/>
        <w:numPr>
          <w:ilvl w:val="0"/>
          <w:numId w:val="4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对生成结果执行脚本化校验，确认虚拟节点规模与字段约束符合预期，保证与现有导入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/>
          <w:color w:val="333333"/>
        </w:rPr>
        <w:t>合并流程兼容。</w:t>
      </w:r>
    </w:p>
    <w:p w14:paraId="79EAB8C0" w14:textId="77777777" w:rsidR="00D11206" w:rsidRDefault="00000000">
      <w:pPr>
        <w:pStyle w:val="4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1.2.4 </w:t>
      </w:r>
      <w:r>
        <w:rPr>
          <w:rFonts w:ascii="Open Sans" w:hAnsi="Open Sans" w:cs="Open Sans"/>
          <w:color w:val="333333"/>
        </w:rPr>
        <w:t>工程化与协作记录</w:t>
      </w:r>
    </w:p>
    <w:p w14:paraId="3CBE9A48" w14:textId="77777777" w:rsidR="00D11206" w:rsidRDefault="00000000">
      <w:pPr>
        <w:pStyle w:val="a6"/>
        <w:numPr>
          <w:ilvl w:val="0"/>
          <w:numId w:val="5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持续通过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docs/AI/HANDOFF.md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记录跨会话实现结论、验证方式与变更要点，保证与《项目计划书》《技术设计文档》中接口与约束描述可追溯对齐。</w:t>
      </w:r>
    </w:p>
    <w:p w14:paraId="773191CC" w14:textId="77777777" w:rsidR="00D11206" w:rsidRDefault="00000000">
      <w:pPr>
        <w:pStyle w:val="a6"/>
        <w:numPr>
          <w:ilvl w:val="0"/>
          <w:numId w:val="5"/>
        </w:numPr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本周仍以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mvn</w:t>
      </w:r>
      <w:proofErr w:type="spellEnd"/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编译与</w:t>
      </w:r>
      <w:r>
        <w:rPr>
          <w:rFonts w:ascii="Open Sans" w:hAnsi="Open Sans" w:cs="Open Sans"/>
          <w:color w:val="333333"/>
        </w:rPr>
        <w:t xml:space="preserve"> </w:t>
      </w:r>
      <w:proofErr w:type="spellStart"/>
      <w:r>
        <w:rPr>
          <w:rStyle w:val="HTML"/>
          <w:color w:val="333333"/>
        </w:rPr>
        <w:t>npm</w:t>
      </w:r>
      <w:proofErr w:type="spellEnd"/>
      <w:r>
        <w:rPr>
          <w:rStyle w:val="HTML"/>
          <w:color w:val="333333"/>
        </w:rPr>
        <w:t xml:space="preserve"> run build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作为基础质量门槛，对路线相关前后端改动进行回归。</w:t>
      </w:r>
    </w:p>
    <w:p w14:paraId="43B3308D" w14:textId="77777777" w:rsidR="00D11206" w:rsidRDefault="00000000">
      <w:pPr>
        <w:pStyle w:val="3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1.3 </w:t>
      </w:r>
      <w:r>
        <w:rPr>
          <w:rFonts w:ascii="Open Sans" w:hAnsi="Open Sans" w:cs="Open Sans"/>
          <w:color w:val="333333"/>
        </w:rPr>
        <w:t>风险与应对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3"/>
        <w:gridCol w:w="704"/>
        <w:gridCol w:w="704"/>
        <w:gridCol w:w="4099"/>
      </w:tblGrid>
      <w:tr w:rsidR="00D11206" w14:paraId="5BBC843C" w14:textId="77777777">
        <w:trPr>
          <w:divId w:val="1907061393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A6B5C" w14:textId="77777777" w:rsidR="00D11206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595F8" w14:textId="77777777" w:rsidR="00D11206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713FF" w14:textId="77777777" w:rsidR="00D11206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713BA" w14:textId="77777777" w:rsidR="00D11206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应对措施</w:t>
            </w:r>
          </w:p>
        </w:tc>
      </w:tr>
      <w:tr w:rsidR="00D11206" w14:paraId="1F797BA4" w14:textId="77777777">
        <w:trPr>
          <w:divId w:val="190706139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9DE71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真实</w:t>
            </w:r>
            <w:r>
              <w:rPr>
                <w:rFonts w:ascii="Open Sans" w:hAnsi="Open Sans" w:cs="Open Sans"/>
                <w:color w:val="333333"/>
              </w:rPr>
              <w:t xml:space="preserve"> OSM </w:t>
            </w:r>
            <w:r>
              <w:rPr>
                <w:rFonts w:ascii="Open Sans" w:hAnsi="Open Sans" w:cs="Open Sans"/>
                <w:color w:val="333333"/>
              </w:rPr>
              <w:t>数据规模上升导致内存与加载耗时增加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7946D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611B5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22D1E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虚拟节点字段瘦身与生成策略复盘；按需拆分导入配置，关注启动预加载耗时</w:t>
            </w:r>
          </w:p>
        </w:tc>
      </w:tr>
      <w:tr w:rsidR="00D11206" w14:paraId="7A999A86" w14:textId="77777777">
        <w:trPr>
          <w:divId w:val="190706139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90EB5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lastRenderedPageBreak/>
              <w:t>路线页「地理坐标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Fonts w:ascii="Open Sans" w:hAnsi="Open Sans" w:cs="Open Sans"/>
                <w:color w:val="333333"/>
              </w:rPr>
              <w:t>图布局」在极端缺失坐标场景下体验下降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5FE36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629E6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20C95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保留兜底布局与明确提示；优先保证主景区数据完整性</w:t>
            </w:r>
          </w:p>
        </w:tc>
      </w:tr>
      <w:tr w:rsidR="00D11206" w14:paraId="4F402BE3" w14:textId="77777777">
        <w:trPr>
          <w:divId w:val="190706139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A042F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计划中的</w:t>
            </w:r>
            <w:r>
              <w:rPr>
                <w:rFonts w:ascii="Open Sans" w:hAnsi="Open Sans" w:cs="Open Sans"/>
                <w:color w:val="333333"/>
              </w:rPr>
              <w:t xml:space="preserve"> My* </w:t>
            </w:r>
            <w:r>
              <w:rPr>
                <w:rFonts w:ascii="Open Sans" w:hAnsi="Open Sans" w:cs="Open Sans"/>
                <w:color w:val="333333"/>
              </w:rPr>
              <w:t>全面替换与业务迭代并行，易产生合并冲突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F6280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2CA33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3F08E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按《项目计划书》</w:t>
            </w:r>
            <w:r>
              <w:rPr>
                <w:rFonts w:ascii="Open Sans" w:hAnsi="Open Sans" w:cs="Open Sans"/>
                <w:color w:val="333333"/>
              </w:rPr>
              <w:t xml:space="preserve">WBS </w:t>
            </w:r>
            <w:r>
              <w:rPr>
                <w:rFonts w:ascii="Open Sans" w:hAnsi="Open Sans" w:cs="Open Sans"/>
                <w:color w:val="333333"/>
              </w:rPr>
              <w:t>划定替换边界，先保路线</w:t>
            </w:r>
            <w:r>
              <w:rPr>
                <w:rFonts w:ascii="Open Sans" w:hAnsi="Open Sans" w:cs="Open Sans"/>
                <w:color w:val="333333"/>
              </w:rPr>
              <w:t xml:space="preserve"> / </w:t>
            </w:r>
            <w:r>
              <w:rPr>
                <w:rFonts w:ascii="Open Sans" w:hAnsi="Open Sans" w:cs="Open Sans"/>
                <w:color w:val="333333"/>
              </w:rPr>
              <w:t>推荐等核心路径，小步合并</w:t>
            </w:r>
            <w:proofErr w:type="gramStart"/>
            <w:r>
              <w:rPr>
                <w:rFonts w:ascii="Open Sans" w:hAnsi="Open Sans" w:cs="Open Sans"/>
                <w:color w:val="333333"/>
              </w:rPr>
              <w:t>并</w:t>
            </w:r>
            <w:proofErr w:type="gramEnd"/>
            <w:r>
              <w:rPr>
                <w:rFonts w:ascii="Open Sans" w:hAnsi="Open Sans" w:cs="Open Sans"/>
                <w:color w:val="333333"/>
              </w:rPr>
              <w:t>附验证记录</w:t>
            </w:r>
          </w:p>
        </w:tc>
      </w:tr>
      <w:tr w:rsidR="00D11206" w14:paraId="4CA872CA" w14:textId="77777777">
        <w:trPr>
          <w:divId w:val="190706139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0750F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文档基线（如</w:t>
            </w:r>
            <w:r>
              <w:rPr>
                <w:rFonts w:ascii="Open Sans" w:hAnsi="Open Sans" w:cs="Open Sans"/>
                <w:color w:val="333333"/>
              </w:rPr>
              <w:t xml:space="preserve"> Java / Node </w:t>
            </w:r>
            <w:r>
              <w:rPr>
                <w:rFonts w:ascii="Open Sans" w:hAnsi="Open Sans" w:cs="Open Sans"/>
                <w:color w:val="333333"/>
              </w:rPr>
              <w:t>版本）与工程实际不一致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7B93C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A0524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427D1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在架构评审</w:t>
            </w:r>
            <w:r>
              <w:rPr>
                <w:rFonts w:ascii="Open Sans" w:hAnsi="Open Sans" w:cs="Open Sans"/>
                <w:color w:val="333333"/>
              </w:rPr>
              <w:t xml:space="preserve"> / </w:t>
            </w:r>
            <w:r>
              <w:rPr>
                <w:rFonts w:ascii="Open Sans" w:hAnsi="Open Sans" w:cs="Open Sans"/>
                <w:color w:val="333333"/>
              </w:rPr>
              <w:t>项目上下文中标注权威基线，避免验收口径歧义</w:t>
            </w:r>
          </w:p>
        </w:tc>
      </w:tr>
      <w:tr w:rsidR="00D11206" w14:paraId="65D3413A" w14:textId="77777777">
        <w:trPr>
          <w:divId w:val="190706139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87E81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方案讲解后接口或模块边界仍有争议，影响开发排期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A13DF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93956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984AA" w14:textId="77777777" w:rsidR="00D11206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以已冻结设计文档与接口清单为准，变更走小步评审并更新</w:t>
            </w:r>
            <w:r>
              <w:rPr>
                <w:rFonts w:ascii="Open Sans" w:hAnsi="Open Sans" w:cs="Open Sans"/>
                <w:color w:val="333333"/>
              </w:rPr>
              <w:t xml:space="preserve"> HANDOFF</w:t>
            </w:r>
          </w:p>
        </w:tc>
      </w:tr>
    </w:tbl>
    <w:p w14:paraId="747A353E" w14:textId="77777777" w:rsidR="00D11206" w:rsidRDefault="00000000">
      <w:pPr>
        <w:pStyle w:val="3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1.4 </w:t>
      </w:r>
      <w:r>
        <w:rPr>
          <w:rFonts w:ascii="Open Sans" w:hAnsi="Open Sans" w:cs="Open Sans"/>
          <w:color w:val="333333"/>
        </w:rPr>
        <w:t>进度评估</w:t>
      </w:r>
    </w:p>
    <w:p w14:paraId="0F59904D" w14:textId="77777777" w:rsidR="00D11206" w:rsidRDefault="00000000">
      <w:pPr>
        <w:pStyle w:val="a6"/>
        <w:numPr>
          <w:ilvl w:val="0"/>
          <w:numId w:val="6"/>
        </w:numPr>
        <w:divId w:val="1907061393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完成度</w:t>
      </w:r>
      <w:r>
        <w:rPr>
          <w:rFonts w:ascii="Open Sans" w:hAnsi="Open Sans" w:cs="Open Sans"/>
          <w:color w:val="333333"/>
        </w:rPr>
        <w:t>：约</w:t>
      </w:r>
      <w:r>
        <w:rPr>
          <w:rFonts w:ascii="Open Sans" w:hAnsi="Open Sans" w:cs="Open Sans"/>
          <w:color w:val="333333"/>
        </w:rPr>
        <w:t xml:space="preserve"> 90%</w:t>
      </w:r>
      <w:r>
        <w:rPr>
          <w:rFonts w:ascii="Open Sans" w:hAnsi="Open Sans" w:cs="Open Sans"/>
          <w:color w:val="333333"/>
        </w:rPr>
        <w:t>（第五周遗留的「设计方案讲解」</w:t>
      </w:r>
      <w:proofErr w:type="gramStart"/>
      <w:r>
        <w:rPr>
          <w:rFonts w:ascii="Open Sans" w:hAnsi="Open Sans" w:cs="Open Sans"/>
          <w:color w:val="333333"/>
        </w:rPr>
        <w:t>与必交付</w:t>
      </w:r>
      <w:proofErr w:type="gramEnd"/>
      <w:r>
        <w:rPr>
          <w:rFonts w:ascii="Open Sans" w:hAnsi="Open Sans" w:cs="Open Sans"/>
          <w:color w:val="333333"/>
        </w:rPr>
        <w:t>材料已闭合；开发</w:t>
      </w:r>
      <w:r>
        <w:rPr>
          <w:rFonts w:ascii="Open Sans" w:hAnsi="Open Sans" w:cs="Open Sans"/>
          <w:color w:val="333333"/>
        </w:rPr>
        <w:t xml:space="preserve"> 1 </w:t>
      </w:r>
      <w:r>
        <w:rPr>
          <w:rFonts w:ascii="Open Sans" w:hAnsi="Open Sans" w:cs="Open Sans"/>
          <w:color w:val="333333"/>
        </w:rPr>
        <w:t>相关联</w:t>
      </w:r>
      <w:proofErr w:type="gramStart"/>
      <w:r>
        <w:rPr>
          <w:rFonts w:ascii="Open Sans" w:hAnsi="Open Sans" w:cs="Open Sans"/>
          <w:color w:val="333333"/>
        </w:rPr>
        <w:t>调持续</w:t>
      </w:r>
      <w:proofErr w:type="gramEnd"/>
      <w:r>
        <w:rPr>
          <w:rFonts w:ascii="Open Sans" w:hAnsi="Open Sans" w:cs="Open Sans"/>
          <w:color w:val="333333"/>
        </w:rPr>
        <w:t>推进，</w:t>
      </w:r>
      <w:r>
        <w:rPr>
          <w:rFonts w:ascii="Open Sans" w:hAnsi="Open Sans" w:cs="Open Sans"/>
          <w:color w:val="333333"/>
        </w:rPr>
        <w:t xml:space="preserve">My* </w:t>
      </w:r>
      <w:r>
        <w:rPr>
          <w:rFonts w:ascii="Open Sans" w:hAnsi="Open Sans" w:cs="Open Sans"/>
          <w:color w:val="333333"/>
        </w:rPr>
        <w:t>在全部核心模块的</w:t>
      </w:r>
      <w:proofErr w:type="gramStart"/>
      <w:r>
        <w:rPr>
          <w:rFonts w:ascii="Open Sans" w:hAnsi="Open Sans" w:cs="Open Sans"/>
          <w:color w:val="333333"/>
        </w:rPr>
        <w:t>替换仍</w:t>
      </w:r>
      <w:proofErr w:type="gramEnd"/>
      <w:r>
        <w:rPr>
          <w:rFonts w:ascii="Open Sans" w:hAnsi="Open Sans" w:cs="Open Sans"/>
          <w:color w:val="333333"/>
        </w:rPr>
        <w:t>按</w:t>
      </w:r>
      <w:r>
        <w:rPr>
          <w:rFonts w:ascii="Open Sans" w:hAnsi="Open Sans" w:cs="Open Sans"/>
          <w:color w:val="333333"/>
        </w:rPr>
        <w:t xml:space="preserve"> WBS </w:t>
      </w:r>
      <w:proofErr w:type="gramStart"/>
      <w:r>
        <w:rPr>
          <w:rFonts w:ascii="Open Sans" w:hAnsi="Open Sans" w:cs="Open Sans"/>
          <w:color w:val="333333"/>
        </w:rPr>
        <w:t>跨周落实</w:t>
      </w:r>
      <w:proofErr w:type="gramEnd"/>
      <w:r>
        <w:rPr>
          <w:rFonts w:ascii="Open Sans" w:hAnsi="Open Sans" w:cs="Open Sans"/>
          <w:color w:val="333333"/>
        </w:rPr>
        <w:t>）。</w:t>
      </w:r>
    </w:p>
    <w:p w14:paraId="7A01885A" w14:textId="77777777" w:rsidR="00D11206" w:rsidRDefault="00000000">
      <w:pPr>
        <w:pStyle w:val="a6"/>
        <w:numPr>
          <w:ilvl w:val="0"/>
          <w:numId w:val="6"/>
        </w:numPr>
        <w:divId w:val="1907061393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里程碑</w:t>
      </w:r>
      <w:r>
        <w:rPr>
          <w:rFonts w:ascii="Open Sans" w:hAnsi="Open Sans" w:cs="Open Sans"/>
          <w:color w:val="333333"/>
        </w:rPr>
        <w:t>：第</w:t>
      </w:r>
      <w:r>
        <w:rPr>
          <w:rFonts w:ascii="Open Sans" w:hAnsi="Open Sans" w:cs="Open Sans"/>
          <w:color w:val="333333"/>
        </w:rPr>
        <w:t xml:space="preserve"> 5 </w:t>
      </w:r>
      <w:r>
        <w:rPr>
          <w:rFonts w:ascii="Open Sans" w:hAnsi="Open Sans" w:cs="Open Sans"/>
          <w:color w:val="333333"/>
        </w:rPr>
        <w:t>周教学节点「讲解设计方案」对应成果已在本周交付；第</w:t>
      </w:r>
      <w:r>
        <w:rPr>
          <w:rFonts w:ascii="Open Sans" w:hAnsi="Open Sans" w:cs="Open Sans"/>
          <w:color w:val="333333"/>
        </w:rPr>
        <w:t xml:space="preserve"> 6 </w:t>
      </w:r>
      <w:r>
        <w:rPr>
          <w:rFonts w:ascii="Open Sans" w:hAnsi="Open Sans" w:cs="Open Sans"/>
          <w:color w:val="333333"/>
        </w:rPr>
        <w:t>周「开发</w:t>
      </w:r>
      <w:r>
        <w:rPr>
          <w:rFonts w:ascii="Open Sans" w:hAnsi="Open Sans" w:cs="Open Sans"/>
          <w:color w:val="333333"/>
        </w:rPr>
        <w:t xml:space="preserve"> 1</w:t>
      </w:r>
      <w:r>
        <w:rPr>
          <w:rFonts w:ascii="Open Sans" w:hAnsi="Open Sans" w:cs="Open Sans"/>
          <w:color w:val="333333"/>
        </w:rPr>
        <w:t>」</w:t>
      </w:r>
      <w:r>
        <w:rPr>
          <w:rFonts w:ascii="Open Sans" w:hAnsi="Open Sans" w:cs="Open Sans"/>
          <w:color w:val="333333"/>
        </w:rPr>
        <w:t>——</w:t>
      </w:r>
      <w:r>
        <w:rPr>
          <w:rFonts w:ascii="Open Sans" w:hAnsi="Open Sans" w:cs="Open Sans"/>
          <w:color w:val="333333"/>
        </w:rPr>
        <w:t>路线可视化与数据侧优化已达到可演示状态；自定义结构在全局范围内的替换纳入后续周次跟踪。</w:t>
      </w:r>
    </w:p>
    <w:p w14:paraId="27D8CF3F" w14:textId="77777777" w:rsidR="00D11206" w:rsidRDefault="00000000">
      <w:pPr>
        <w:pStyle w:val="a6"/>
        <w:numPr>
          <w:ilvl w:val="0"/>
          <w:numId w:val="6"/>
        </w:numPr>
        <w:divId w:val="1907061393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交付物</w:t>
      </w:r>
      <w:r>
        <w:rPr>
          <w:rFonts w:ascii="Open Sans" w:hAnsi="Open Sans" w:cs="Open Sans"/>
          <w:color w:val="333333"/>
        </w:rPr>
        <w:t>：</w:t>
      </w:r>
      <w:r>
        <w:rPr>
          <w:rStyle w:val="a5"/>
          <w:rFonts w:ascii="Open Sans" w:hAnsi="Open Sans" w:cs="Open Sans"/>
          <w:color w:val="333333"/>
        </w:rPr>
        <w:t>设计方案讲解材料</w:t>
      </w:r>
      <w:r>
        <w:rPr>
          <w:rFonts w:ascii="Open Sans" w:hAnsi="Open Sans" w:cs="Open Sans"/>
          <w:color w:val="333333"/>
        </w:rPr>
        <w:t>（含讲解与反馈收口）、路线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map-data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与前端路线页更新、</w:t>
      </w:r>
      <w:r>
        <w:rPr>
          <w:rFonts w:ascii="Open Sans" w:hAnsi="Open Sans" w:cs="Open Sans"/>
          <w:color w:val="333333"/>
        </w:rPr>
        <w:t xml:space="preserve">OSM </w:t>
      </w:r>
      <w:r>
        <w:rPr>
          <w:rFonts w:ascii="Open Sans" w:hAnsi="Open Sans" w:cs="Open Sans"/>
          <w:color w:val="333333"/>
        </w:rPr>
        <w:t>生成脚本优化与校验记录、</w:t>
      </w:r>
      <w:r>
        <w:rPr>
          <w:rStyle w:val="HTML"/>
          <w:color w:val="333333"/>
        </w:rPr>
        <w:t>HANDOFF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交接条目、编译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/>
          <w:color w:val="333333"/>
        </w:rPr>
        <w:t>构建通过记录。</w:t>
      </w:r>
    </w:p>
    <w:p w14:paraId="439362C0" w14:textId="77777777" w:rsidR="00D11206" w:rsidRDefault="00000000">
      <w:pPr>
        <w:spacing w:before="240" w:after="240"/>
        <w:divId w:val="1907061393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pict w14:anchorId="1745373D">
          <v:rect id="_x0000_i1025" style="width:0;height:1.5pt" o:hralign="center" o:hrstd="t" o:hr="t" fillcolor="#a0a0a0" stroked="f"/>
        </w:pict>
      </w:r>
    </w:p>
    <w:p w14:paraId="084048CE" w14:textId="77777777" w:rsidR="00D11206" w:rsidRDefault="00000000">
      <w:pPr>
        <w:pStyle w:val="a6"/>
        <w:divId w:val="1907061393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编写日期</w:t>
      </w:r>
      <w:r>
        <w:rPr>
          <w:rFonts w:ascii="Open Sans" w:hAnsi="Open Sans" w:cs="Open Sans"/>
          <w:color w:val="333333"/>
        </w:rPr>
        <w:t>：</w:t>
      </w:r>
      <w:r>
        <w:rPr>
          <w:rFonts w:ascii="Open Sans" w:hAnsi="Open Sans" w:cs="Open Sans"/>
          <w:color w:val="333333"/>
        </w:rPr>
        <w:t xml:space="preserve">2026-04-12 </w:t>
      </w:r>
    </w:p>
    <w:p w14:paraId="2535AD47" w14:textId="77777777" w:rsidR="005E645F" w:rsidRDefault="00000000">
      <w:pPr>
        <w:pStyle w:val="a6"/>
        <w:divId w:val="1907061393"/>
        <w:rPr>
          <w:rFonts w:ascii="Open Sans" w:hAnsi="Open Sans" w:cs="Open Sans"/>
          <w:color w:val="333333"/>
        </w:rPr>
      </w:pPr>
      <w:r>
        <w:rPr>
          <w:rFonts w:ascii="Cambria" w:hAnsi="Cambria" w:cs="Cambria"/>
          <w:color w:val="333333"/>
        </w:rPr>
        <w:t> </w:t>
      </w:r>
    </w:p>
    <w:sectPr w:rsidR="005E645F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14FE3" w14:textId="77777777" w:rsidR="00FD4CBA" w:rsidRDefault="00FD4CBA" w:rsidP="00E8609C">
      <w:pPr>
        <w:rPr>
          <w:rFonts w:hint="eastAsia"/>
        </w:rPr>
      </w:pPr>
      <w:r>
        <w:separator/>
      </w:r>
    </w:p>
  </w:endnote>
  <w:endnote w:type="continuationSeparator" w:id="0">
    <w:p w14:paraId="63993B6C" w14:textId="77777777" w:rsidR="00FD4CBA" w:rsidRDefault="00FD4CBA" w:rsidP="00E860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monospace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6F057" w14:textId="77777777" w:rsidR="00FD4CBA" w:rsidRDefault="00FD4CBA" w:rsidP="00E8609C">
      <w:pPr>
        <w:rPr>
          <w:rFonts w:hint="eastAsia"/>
        </w:rPr>
      </w:pPr>
      <w:r>
        <w:separator/>
      </w:r>
    </w:p>
  </w:footnote>
  <w:footnote w:type="continuationSeparator" w:id="0">
    <w:p w14:paraId="5C6E8AAA" w14:textId="77777777" w:rsidR="00FD4CBA" w:rsidRDefault="00FD4CBA" w:rsidP="00E860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4178"/>
    <w:multiLevelType w:val="multilevel"/>
    <w:tmpl w:val="BE1C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73D7F"/>
    <w:multiLevelType w:val="multilevel"/>
    <w:tmpl w:val="D4AC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04F86"/>
    <w:multiLevelType w:val="multilevel"/>
    <w:tmpl w:val="351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C1679"/>
    <w:multiLevelType w:val="multilevel"/>
    <w:tmpl w:val="B55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73A89"/>
    <w:multiLevelType w:val="multilevel"/>
    <w:tmpl w:val="BEE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2442E"/>
    <w:multiLevelType w:val="multilevel"/>
    <w:tmpl w:val="5C2E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59277">
    <w:abstractNumId w:val="5"/>
  </w:num>
  <w:num w:numId="2" w16cid:durableId="970984777">
    <w:abstractNumId w:val="1"/>
  </w:num>
  <w:num w:numId="3" w16cid:durableId="159929346">
    <w:abstractNumId w:val="4"/>
  </w:num>
  <w:num w:numId="4" w16cid:durableId="2005670632">
    <w:abstractNumId w:val="0"/>
  </w:num>
  <w:num w:numId="5" w16cid:durableId="934627482">
    <w:abstractNumId w:val="3"/>
  </w:num>
  <w:num w:numId="6" w16cid:durableId="116012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9C"/>
    <w:rsid w:val="005E645F"/>
    <w:rsid w:val="005F4027"/>
    <w:rsid w:val="00860BE1"/>
    <w:rsid w:val="00D11206"/>
    <w:rsid w:val="00D32B88"/>
    <w:rsid w:val="00E8609C"/>
    <w:rsid w:val="00FD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8BCA7"/>
  <w15:chartTrackingRefBased/>
  <w15:docId w15:val="{96F751D3-534B-42A2-A208-A2725CB0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0"/>
    </w:pPr>
    <w:rPr>
      <w:b/>
      <w:bCs/>
      <w:kern w:val="36"/>
      <w:sz w:val="54"/>
      <w:szCs w:val="5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1"/>
    </w:pPr>
    <w:rPr>
      <w:b/>
      <w:bCs/>
      <w:sz w:val="42"/>
      <w:szCs w:val="4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sz w:val="30"/>
      <w:szCs w:val="30"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color w:val="77777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183C4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4183C4"/>
      <w:u w:val="single"/>
    </w:rPr>
  </w:style>
  <w:style w:type="character" w:styleId="HTML">
    <w:name w:val="HTML Code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3F4F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character" w:styleId="HTML0">
    <w:name w:val="HTML Keyboard"/>
    <w:basedOn w:val="a0"/>
    <w:uiPriority w:val="99"/>
    <w:semiHidden/>
    <w:unhideWhenUsed/>
    <w:rPr>
      <w:rFonts w:ascii="宋体" w:eastAsia="宋体" w:hAnsi="宋体" w:cs="宋体"/>
      <w:color w:val="242729"/>
      <w:sz w:val="19"/>
      <w:szCs w:val="19"/>
      <w:bdr w:val="single" w:sz="6" w:space="1" w:color="ADB3B9" w:frame="1"/>
      <w:shd w:val="clear" w:color="auto" w:fill="FFFFFF"/>
    </w:rPr>
  </w:style>
  <w:style w:type="paragraph" w:styleId="HTML1">
    <w:name w:val="HTML Preformatted"/>
    <w:basedOn w:val="a"/>
    <w:link w:val="HTML2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monospace)" w:hAnsi="var(--monospace)"/>
    </w:rPr>
  </w:style>
  <w:style w:type="character" w:customStyle="1" w:styleId="HTML2">
    <w:name w:val="HTML 预设格式 字符"/>
    <w:basedOn w:val="a0"/>
    <w:link w:val="HTML1"/>
    <w:uiPriority w:val="99"/>
    <w:semiHidden/>
    <w:rPr>
      <w:rFonts w:ascii="Courier New" w:eastAsia="宋体" w:hAnsi="Courier New" w:cs="Courier New"/>
    </w:rPr>
  </w:style>
  <w:style w:type="character" w:styleId="HTML3">
    <w:name w:val="HTML Sample"/>
    <w:basedOn w:val="a0"/>
    <w:uiPriority w:val="99"/>
    <w:semiHidden/>
    <w:unhideWhenUsed/>
    <w:rPr>
      <w:rFonts w:ascii="var(--monospace)" w:eastAsia="宋体" w:hAnsi="var(--monospace)" w:cs="宋体" w:hint="default"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HTML4">
    <w:name w:val="HTML Typewriter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8F8F8"/>
    </w:rPr>
  </w:style>
  <w:style w:type="paragraph" w:customStyle="1" w:styleId="msonormal0">
    <w:name w:val="msonormal"/>
    <w:basedOn w:val="a"/>
    <w:pPr>
      <w:spacing w:before="192" w:after="192"/>
    </w:pPr>
  </w:style>
  <w:style w:type="paragraph" w:styleId="a6">
    <w:name w:val="Normal (Web)"/>
    <w:basedOn w:val="a"/>
    <w:uiPriority w:val="99"/>
    <w:semiHidden/>
    <w:unhideWhenUsed/>
    <w:pPr>
      <w:spacing w:before="192" w:after="192"/>
    </w:pPr>
  </w:style>
  <w:style w:type="paragraph" w:customStyle="1" w:styleId="hidden">
    <w:name w:val="hidden"/>
    <w:basedOn w:val="a"/>
    <w:rPr>
      <w:vanish/>
    </w:rPr>
  </w:style>
  <w:style w:type="paragraph" w:customStyle="1" w:styleId="md-blockmeta">
    <w:name w:val="md-blockmeta"/>
    <w:basedOn w:val="a"/>
    <w:rPr>
      <w:b/>
      <w:bCs/>
      <w:i/>
      <w:iCs/>
      <w:color w:val="CCCCCC"/>
    </w:rPr>
  </w:style>
  <w:style w:type="paragraph" w:customStyle="1" w:styleId="codemirror-gutters">
    <w:name w:val="codemirror-gutters"/>
    <w:basedOn w:val="a"/>
    <w:pPr>
      <w:ind w:right="60"/>
    </w:pPr>
  </w:style>
  <w:style w:type="paragraph" w:customStyle="1" w:styleId="codemirror">
    <w:name w:val="codemirror"/>
    <w:basedOn w:val="a"/>
  </w:style>
  <w:style w:type="paragraph" w:customStyle="1" w:styleId="codemirror-lines">
    <w:name w:val="codemirror-lines"/>
    <w:basedOn w:val="a"/>
  </w:style>
  <w:style w:type="paragraph" w:customStyle="1" w:styleId="md-fences">
    <w:name w:val="md-fences"/>
    <w:basedOn w:val="a"/>
    <w:pPr>
      <w:pBdr>
        <w:top w:val="single" w:sz="6" w:space="2" w:color="E7EAED"/>
        <w:left w:val="single" w:sz="6" w:space="3" w:color="E7EAED"/>
        <w:bottom w:val="single" w:sz="6" w:space="0" w:color="E7EAED"/>
        <w:right w:val="single" w:sz="6" w:space="3" w:color="E7EAED"/>
      </w:pBdr>
      <w:shd w:val="clear" w:color="auto" w:fill="F8F8F8"/>
      <w:spacing w:before="225" w:after="225"/>
    </w:pPr>
    <w:rPr>
      <w:sz w:val="22"/>
      <w:szCs w:val="22"/>
    </w:rPr>
  </w:style>
  <w:style w:type="paragraph" w:customStyle="1" w:styleId="md-fences-adv-panel">
    <w:name w:val="md-fences-adv-panel"/>
    <w:basedOn w:val="a"/>
    <w:pPr>
      <w:spacing w:before="150"/>
      <w:jc w:val="center"/>
    </w:pPr>
  </w:style>
  <w:style w:type="paragraph" w:customStyle="1" w:styleId="footnotes">
    <w:name w:val="footnotes"/>
    <w:basedOn w:val="a"/>
    <w:pPr>
      <w:spacing w:before="240" w:after="240"/>
    </w:pPr>
  </w:style>
  <w:style w:type="paragraph" w:customStyle="1" w:styleId="md-reset">
    <w:name w:val="md-reset"/>
    <w:basedOn w:val="a"/>
    <w:pPr>
      <w:textAlignment w:val="top"/>
    </w:pPr>
  </w:style>
  <w:style w:type="paragraph" w:customStyle="1" w:styleId="footnotes-area">
    <w:name w:val="footnotes-area"/>
    <w:basedOn w:val="a"/>
    <w:rPr>
      <w:color w:val="888888"/>
    </w:rPr>
  </w:style>
  <w:style w:type="paragraph" w:customStyle="1" w:styleId="footnote-line">
    <w:name w:val="footnote-line"/>
    <w:basedOn w:val="a"/>
    <w:pPr>
      <w:spacing w:before="171"/>
    </w:pPr>
    <w:rPr>
      <w:sz w:val="17"/>
      <w:szCs w:val="17"/>
    </w:rPr>
  </w:style>
  <w:style w:type="paragraph" w:customStyle="1" w:styleId="md-math-block">
    <w:name w:val="md-math-block"/>
    <w:basedOn w:val="a"/>
  </w:style>
  <w:style w:type="paragraph" w:customStyle="1" w:styleId="md-toc-content">
    <w:name w:val="md-toc-content"/>
    <w:basedOn w:val="a"/>
  </w:style>
  <w:style w:type="paragraph" w:customStyle="1" w:styleId="md-toc-item">
    <w:name w:val="md-toc-item"/>
    <w:basedOn w:val="a"/>
    <w:rPr>
      <w:color w:val="4183C4"/>
    </w:rPr>
  </w:style>
  <w:style w:type="paragraph" w:customStyle="1" w:styleId="reversefootnote">
    <w:name w:val="reversefootnote"/>
    <w:basedOn w:val="a"/>
    <w:rPr>
      <w:rFonts w:ascii="Arial" w:hAnsi="Arial" w:cs="Arial"/>
    </w:rPr>
  </w:style>
  <w:style w:type="paragraph" w:customStyle="1" w:styleId="md-attr">
    <w:name w:val="md-attr"/>
    <w:basedOn w:val="a"/>
    <w:rPr>
      <w:vanish/>
    </w:rPr>
  </w:style>
  <w:style w:type="paragraph" w:customStyle="1" w:styleId="md-comment">
    <w:name w:val="md-comment"/>
    <w:basedOn w:val="a"/>
    <w:rPr>
      <w:rFonts w:ascii="var(--monospace)" w:hAnsi="var(--monospace)"/>
      <w:color w:val="A27F03"/>
    </w:rPr>
  </w:style>
  <w:style w:type="paragraph" w:customStyle="1" w:styleId="mermaid-svg">
    <w:name w:val="mermaid-svg"/>
    <w:basedOn w:val="a"/>
    <w:pPr>
      <w:spacing w:before="100" w:beforeAutospacing="1" w:after="100" w:afterAutospacing="1"/>
    </w:pPr>
  </w:style>
  <w:style w:type="paragraph" w:customStyle="1" w:styleId="typora-export-sidebar">
    <w:name w:val="typora-export-sidebar"/>
    <w:basedOn w:val="a"/>
    <w:pPr>
      <w:spacing w:before="1200"/>
      <w:ind w:right="270"/>
    </w:pPr>
  </w:style>
  <w:style w:type="paragraph" w:customStyle="1" w:styleId="outline-expander">
    <w:name w:val="outline-expander"/>
    <w:basedOn w:val="a"/>
    <w:pPr>
      <w:textAlignment w:val="center"/>
    </w:pPr>
  </w:style>
  <w:style w:type="paragraph" w:customStyle="1" w:styleId="outline-item">
    <w:name w:val="outline-item"/>
    <w:basedOn w:val="a"/>
  </w:style>
  <w:style w:type="paragraph" w:customStyle="1" w:styleId="outline-label">
    <w:name w:val="outline-label"/>
    <w:basedOn w:val="a"/>
    <w:pPr>
      <w:textAlignment w:val="center"/>
    </w:pPr>
  </w:style>
  <w:style w:type="paragraph" w:customStyle="1" w:styleId="outline-children">
    <w:name w:val="outline-children"/>
    <w:basedOn w:val="a"/>
    <w:rPr>
      <w:vanish/>
    </w:rPr>
  </w:style>
  <w:style w:type="paragraph" w:customStyle="1" w:styleId="info-panel-tab-wrapper">
    <w:name w:val="info-panel-tab-wrapper"/>
    <w:basedOn w:val="a"/>
    <w:rPr>
      <w:vanish/>
    </w:rPr>
  </w:style>
  <w:style w:type="paragraph" w:customStyle="1" w:styleId="md-alert">
    <w:name w:val="md-alert"/>
    <w:basedOn w:val="a"/>
    <w:pPr>
      <w:pBdr>
        <w:left w:val="single" w:sz="24" w:space="12" w:color="000000"/>
      </w:pBdr>
      <w:spacing w:after="240"/>
    </w:pPr>
  </w:style>
  <w:style w:type="paragraph" w:customStyle="1" w:styleId="md-alert-text-note">
    <w:name w:val="md-alert-text-note"/>
    <w:basedOn w:val="a"/>
    <w:rPr>
      <w:color w:val="0969DA"/>
    </w:rPr>
  </w:style>
  <w:style w:type="paragraph" w:customStyle="1" w:styleId="md-alert-text-important">
    <w:name w:val="md-alert-text-important"/>
    <w:basedOn w:val="a"/>
    <w:rPr>
      <w:color w:val="8250DF"/>
    </w:rPr>
  </w:style>
  <w:style w:type="paragraph" w:customStyle="1" w:styleId="md-alert-text-warning">
    <w:name w:val="md-alert-text-warning"/>
    <w:basedOn w:val="a"/>
    <w:rPr>
      <w:color w:val="9A6700"/>
    </w:rPr>
  </w:style>
  <w:style w:type="paragraph" w:customStyle="1" w:styleId="md-alert-text-tip">
    <w:name w:val="md-alert-text-tip"/>
    <w:basedOn w:val="a"/>
    <w:rPr>
      <w:color w:val="1F883D"/>
    </w:rPr>
  </w:style>
  <w:style w:type="paragraph" w:customStyle="1" w:styleId="md-alert-text-caution">
    <w:name w:val="md-alert-text-caution"/>
    <w:basedOn w:val="a"/>
    <w:rPr>
      <w:color w:val="CF222E"/>
    </w:rPr>
  </w:style>
  <w:style w:type="paragraph" w:customStyle="1" w:styleId="md-alert-text">
    <w:name w:val="md-alert-text"/>
    <w:basedOn w:val="a"/>
    <w:rPr>
      <w:b/>
      <w:bCs/>
    </w:rPr>
  </w:style>
  <w:style w:type="paragraph" w:customStyle="1" w:styleId="code-tooltip">
    <w:name w:val="code-tooltip"/>
    <w:basedOn w:val="a"/>
    <w:pPr>
      <w:pBdr>
        <w:top w:val="single" w:sz="6" w:space="0" w:color="EEF2F2"/>
      </w:pBdr>
    </w:pPr>
  </w:style>
  <w:style w:type="paragraph" w:customStyle="1" w:styleId="md-mathjax-midline">
    <w:name w:val="md-mathjax-midline"/>
    <w:basedOn w:val="a"/>
    <w:pPr>
      <w:shd w:val="clear" w:color="auto" w:fill="FAFAFA"/>
    </w:pPr>
  </w:style>
  <w:style w:type="paragraph" w:customStyle="1" w:styleId="md-tag">
    <w:name w:val="md-tag"/>
    <w:basedOn w:val="a"/>
    <w:rPr>
      <w:color w:val="A7A7A7"/>
    </w:rPr>
  </w:style>
  <w:style w:type="paragraph" w:customStyle="1" w:styleId="md-toc">
    <w:name w:val="md-toc"/>
    <w:basedOn w:val="a"/>
    <w:pPr>
      <w:spacing w:before="300"/>
    </w:pPr>
  </w:style>
  <w:style w:type="paragraph" w:customStyle="1" w:styleId="sidebar-tabs">
    <w:name w:val="sidebar-tabs"/>
    <w:basedOn w:val="a"/>
  </w:style>
  <w:style w:type="paragraph" w:customStyle="1" w:styleId="md-lang">
    <w:name w:val="md-lang"/>
    <w:basedOn w:val="a"/>
    <w:rPr>
      <w:color w:val="B4654D"/>
    </w:rPr>
  </w:style>
  <w:style w:type="paragraph" w:customStyle="1" w:styleId="md-toc-inner">
    <w:name w:val="md-toc-inner"/>
    <w:basedOn w:val="a"/>
  </w:style>
  <w:style w:type="paragraph" w:customStyle="1" w:styleId="typora-export-content">
    <w:name w:val="typora-export-content"/>
    <w:basedOn w:val="a"/>
  </w:style>
  <w:style w:type="paragraph" w:customStyle="1" w:styleId="outline-content">
    <w:name w:val="outline-content"/>
    <w:basedOn w:val="a"/>
  </w:style>
  <w:style w:type="paragraph" w:customStyle="1" w:styleId="divider">
    <w:name w:val="divider"/>
    <w:basedOn w:val="a"/>
  </w:style>
  <w:style w:type="paragraph" w:customStyle="1" w:styleId="window-content">
    <w:name w:val="window-content"/>
    <w:basedOn w:val="a"/>
  </w:style>
  <w:style w:type="paragraph" w:customStyle="1" w:styleId="mathjaxdisplay">
    <w:name w:val="mathjax_display"/>
    <w:basedOn w:val="a"/>
  </w:style>
  <w:style w:type="paragraph" w:customStyle="1" w:styleId="btn">
    <w:name w:val="btn"/>
    <w:basedOn w:val="a"/>
  </w:style>
  <w:style w:type="paragraph" w:customStyle="1" w:styleId="mathjaxdisplay1">
    <w:name w:val="mathjax_display1"/>
    <w:basedOn w:val="a"/>
    <w:pPr>
      <w:spacing w:before="192"/>
    </w:pPr>
  </w:style>
  <w:style w:type="paragraph" w:customStyle="1" w:styleId="md-toc-inner1">
    <w:name w:val="md-toc-inner1"/>
    <w:basedOn w:val="a"/>
    <w:pPr>
      <w:spacing w:before="192" w:after="192"/>
    </w:pPr>
    <w:rPr>
      <w:b/>
      <w:bCs/>
    </w:rPr>
  </w:style>
  <w:style w:type="paragraph" w:customStyle="1" w:styleId="md-toc-inner2">
    <w:name w:val="md-toc-inner2"/>
    <w:basedOn w:val="a"/>
    <w:pPr>
      <w:spacing w:before="192" w:after="192"/>
      <w:ind w:left="480"/>
    </w:pPr>
  </w:style>
  <w:style w:type="paragraph" w:customStyle="1" w:styleId="md-toc-inner3">
    <w:name w:val="md-toc-inner3"/>
    <w:basedOn w:val="a"/>
    <w:pPr>
      <w:spacing w:before="192" w:after="192"/>
      <w:ind w:left="960"/>
    </w:pPr>
  </w:style>
  <w:style w:type="paragraph" w:customStyle="1" w:styleId="md-toc-inner4">
    <w:name w:val="md-toc-inner4"/>
    <w:basedOn w:val="a"/>
    <w:pPr>
      <w:spacing w:before="192" w:after="192"/>
      <w:ind w:left="1440"/>
    </w:pPr>
  </w:style>
  <w:style w:type="paragraph" w:customStyle="1" w:styleId="md-toc-inner5">
    <w:name w:val="md-toc-inner5"/>
    <w:basedOn w:val="a"/>
    <w:pPr>
      <w:spacing w:before="192" w:after="192"/>
      <w:ind w:left="1920"/>
    </w:pPr>
  </w:style>
  <w:style w:type="paragraph" w:customStyle="1" w:styleId="md-toc-inner6">
    <w:name w:val="md-toc-inner6"/>
    <w:basedOn w:val="a"/>
    <w:pPr>
      <w:spacing w:before="192" w:after="192"/>
      <w:ind w:left="2400"/>
    </w:pPr>
  </w:style>
  <w:style w:type="paragraph" w:customStyle="1" w:styleId="typora-export-content1">
    <w:name w:val="typora-export-content1"/>
    <w:basedOn w:val="a"/>
    <w:pPr>
      <w:spacing w:before="100" w:beforeAutospacing="1" w:after="100" w:afterAutospacing="1"/>
    </w:pPr>
  </w:style>
  <w:style w:type="paragraph" w:customStyle="1" w:styleId="outline-content1">
    <w:name w:val="outline-content1"/>
    <w:basedOn w:val="a"/>
    <w:pPr>
      <w:spacing w:before="192" w:after="192"/>
    </w:pPr>
  </w:style>
  <w:style w:type="paragraph" w:customStyle="1" w:styleId="outline-item1">
    <w:name w:val="outline-item1"/>
    <w:basedOn w:val="a"/>
    <w:pPr>
      <w:spacing w:before="192" w:after="192"/>
    </w:pPr>
  </w:style>
  <w:style w:type="paragraph" w:customStyle="1" w:styleId="outline-item2">
    <w:name w:val="outline-item2"/>
    <w:basedOn w:val="a"/>
    <w:pPr>
      <w:spacing w:before="192" w:after="192"/>
      <w:ind w:left="-420" w:right="-120"/>
    </w:pPr>
  </w:style>
  <w:style w:type="paragraph" w:customStyle="1" w:styleId="outline-children1">
    <w:name w:val="outline-children1"/>
    <w:basedOn w:val="a"/>
    <w:pPr>
      <w:spacing w:before="192" w:after="192"/>
    </w:pPr>
    <w:rPr>
      <w:vanish/>
    </w:rPr>
  </w:style>
  <w:style w:type="paragraph" w:customStyle="1" w:styleId="btn1">
    <w:name w:val="btn1"/>
    <w:basedOn w:val="a"/>
    <w:pPr>
      <w:spacing w:before="192" w:after="192"/>
    </w:pPr>
  </w:style>
  <w:style w:type="paragraph" w:customStyle="1" w:styleId="divider1">
    <w:name w:val="divider1"/>
    <w:basedOn w:val="a"/>
    <w:pPr>
      <w:spacing w:before="192" w:after="192"/>
    </w:pPr>
  </w:style>
  <w:style w:type="paragraph" w:customStyle="1" w:styleId="window-content1">
    <w:name w:val="window-content1"/>
    <w:basedOn w:val="a"/>
    <w:pPr>
      <w:shd w:val="clear" w:color="auto" w:fill="FAFAFA"/>
      <w:spacing w:before="192" w:after="192"/>
    </w:pPr>
  </w:style>
  <w:style w:type="paragraph" w:styleId="a7">
    <w:name w:val="header"/>
    <w:basedOn w:val="a"/>
    <w:link w:val="a8"/>
    <w:uiPriority w:val="99"/>
    <w:unhideWhenUsed/>
    <w:rsid w:val="00E860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8609C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860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8609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949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931</Words>
  <Characters>1136</Characters>
  <Application>Microsoft Office Word</Application>
  <DocSecurity>0</DocSecurity>
  <Lines>71</Lines>
  <Paragraphs>60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Weekly_Report_Week6</dc:title>
  <dc:subject/>
  <dc:creator>22778</dc:creator>
  <cp:keywords/>
  <dc:description/>
  <cp:lastModifiedBy>22778</cp:lastModifiedBy>
  <cp:revision>3</cp:revision>
  <dcterms:created xsi:type="dcterms:W3CDTF">2026-04-12T02:38:00Z</dcterms:created>
  <dcterms:modified xsi:type="dcterms:W3CDTF">2026-04-12T02:39:00Z</dcterms:modified>
</cp:coreProperties>
</file>