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C2E2" w14:textId="77777777" w:rsidR="00000000" w:rsidRDefault="00000000">
      <w:pPr>
        <w:pStyle w:val="1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个性化旅游推荐系统</w:t>
      </w:r>
      <w:r>
        <w:rPr>
          <w:rFonts w:ascii="Open Sans" w:hAnsi="Open Sans" w:cs="Open Sans"/>
          <w:color w:val="333333"/>
        </w:rPr>
        <w:t xml:space="preserve"> - </w:t>
      </w:r>
      <w:r>
        <w:rPr>
          <w:rFonts w:ascii="Open Sans" w:hAnsi="Open Sans" w:cs="Open Sans" w:hint="eastAsia"/>
          <w:color w:val="333333"/>
        </w:rPr>
        <w:t>第九周与第十周阶段周报</w:t>
      </w:r>
    </w:p>
    <w:p w14:paraId="290E529C" w14:textId="77777777" w:rsidR="00000000" w:rsidRDefault="00000000">
      <w:pPr>
        <w:pStyle w:val="a5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成员：陈逸、程小路</w:t>
      </w:r>
    </w:p>
    <w:p w14:paraId="258403EA" w14:textId="77777777" w:rsidR="00000000" w:rsidRDefault="00000000">
      <w:pPr>
        <w:pStyle w:val="a5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 </w:t>
      </w:r>
    </w:p>
    <w:p w14:paraId="5496E84C" w14:textId="77777777" w:rsidR="00000000" w:rsidRDefault="00000000">
      <w:pPr>
        <w:pStyle w:val="2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 </w:t>
      </w:r>
      <w:r>
        <w:rPr>
          <w:rFonts w:ascii="Open Sans" w:hAnsi="Open Sans" w:cs="Open Sans" w:hint="eastAsia"/>
          <w:color w:val="333333"/>
        </w:rPr>
        <w:t>第九周（</w:t>
      </w:r>
      <w:r>
        <w:rPr>
          <w:rFonts w:ascii="Open Sans" w:hAnsi="Open Sans" w:cs="Open Sans"/>
          <w:color w:val="333333"/>
        </w:rPr>
        <w:t>2026-04-27</w:t>
      </w:r>
      <w:r>
        <w:rPr>
          <w:rFonts w:ascii="Open Sans" w:hAnsi="Open Sans" w:cs="Open Sans" w:hint="eastAsia"/>
          <w:color w:val="333333"/>
        </w:rPr>
        <w:t>～</w:t>
      </w:r>
      <w:r>
        <w:rPr>
          <w:rFonts w:ascii="Open Sans" w:hAnsi="Open Sans" w:cs="Open Sans"/>
          <w:color w:val="333333"/>
        </w:rPr>
        <w:t>2026-05-03</w:t>
      </w:r>
      <w:r>
        <w:rPr>
          <w:rFonts w:ascii="Open Sans" w:hAnsi="Open Sans" w:cs="Open Sans" w:hint="eastAsia"/>
          <w:color w:val="333333"/>
        </w:rPr>
        <w:t>）：计划目标与阶段总结</w:t>
      </w:r>
    </w:p>
    <w:p w14:paraId="3C5A7F9B" w14:textId="77777777" w:rsidR="00000000" w:rsidRDefault="00000000">
      <w:pPr>
        <w:pStyle w:val="3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1.1 </w:t>
      </w:r>
      <w:r>
        <w:rPr>
          <w:rFonts w:ascii="Open Sans" w:hAnsi="Open Sans" w:cs="Open Sans" w:hint="eastAsia"/>
          <w:color w:val="333333"/>
        </w:rPr>
        <w:t>计划目标</w:t>
      </w:r>
    </w:p>
    <w:p w14:paraId="76DE2889" w14:textId="77777777" w:rsidR="00000000" w:rsidRDefault="00000000">
      <w:pPr>
        <w:pStyle w:val="a5"/>
        <w:numPr>
          <w:ilvl w:val="0"/>
          <w:numId w:val="2"/>
        </w:numPr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组织并完成中期演示：推荐、路线、检索、日记等主链路可连贯演示。</w:t>
      </w:r>
    </w:p>
    <w:p w14:paraId="43C5F7B2" w14:textId="77777777" w:rsidR="00000000" w:rsidRDefault="00000000">
      <w:pPr>
        <w:pStyle w:val="a5"/>
        <w:numPr>
          <w:ilvl w:val="0"/>
          <w:numId w:val="2"/>
        </w:numPr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形成问题清单与按优先级排序的修复计划，满足计划书必交付要求。</w:t>
      </w:r>
    </w:p>
    <w:p w14:paraId="1CBC3F1C" w14:textId="77777777" w:rsidR="00000000" w:rsidRDefault="00000000">
      <w:pPr>
        <w:pStyle w:val="a5"/>
        <w:numPr>
          <w:ilvl w:val="0"/>
          <w:numId w:val="2"/>
        </w:numPr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承接第八周收尾项：数据与脚本侧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modeProfile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一致性验证、关键回归等。</w:t>
      </w:r>
    </w:p>
    <w:p w14:paraId="7CCDC7AC" w14:textId="77777777" w:rsidR="00000000" w:rsidRDefault="00000000">
      <w:pPr>
        <w:pStyle w:val="3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 </w:t>
      </w:r>
      <w:r>
        <w:rPr>
          <w:rFonts w:ascii="Open Sans" w:hAnsi="Open Sans" w:cs="Open Sans" w:hint="eastAsia"/>
          <w:color w:val="333333"/>
        </w:rPr>
        <w:t>阶段完成情况</w:t>
      </w:r>
    </w:p>
    <w:p w14:paraId="7D71FBA8" w14:textId="77777777" w:rsidR="00000000" w:rsidRDefault="00000000">
      <w:pPr>
        <w:pStyle w:val="a5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结合已落地的能力描述，中期演示所需的主链路在文档层面已具备较完整的前</w:t>
      </w:r>
      <w:proofErr w:type="gramStart"/>
      <w:r>
        <w:rPr>
          <w:rFonts w:ascii="Open Sans" w:hAnsi="Open Sans" w:cs="Open Sans" w:hint="eastAsia"/>
          <w:color w:val="333333"/>
        </w:rPr>
        <w:t>序实现</w:t>
      </w:r>
      <w:proofErr w:type="gramEnd"/>
      <w:r>
        <w:rPr>
          <w:rFonts w:ascii="Open Sans" w:hAnsi="Open Sans" w:cs="Open Sans" w:hint="eastAsia"/>
          <w:color w:val="333333"/>
        </w:rPr>
        <w:t>基础（推荐与路线、设施与美食、日记管理与检索、路网多模式等均有周报应答）。第九周的核心价值在于：将上述能力固化为可重复的演示版本（环境、账号、样例数据、演示脚本），并通过中检收集缺陷与优先级，而不是从零开始实现新模块。</w:t>
      </w:r>
    </w:p>
    <w:p w14:paraId="18D044B5" w14:textId="77777777" w:rsidR="00000000" w:rsidRDefault="00000000">
      <w:pPr>
        <w:pStyle w:val="a5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在材料中包含：</w:t>
      </w:r>
    </w:p>
    <w:p w14:paraId="08E8A428" w14:textId="77777777" w:rsidR="00000000" w:rsidRDefault="00000000">
      <w:pPr>
        <w:pStyle w:val="a5"/>
        <w:numPr>
          <w:ilvl w:val="0"/>
          <w:numId w:val="4"/>
        </w:numPr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中期演示：可运行前后端、种子数据或导入说明、演示路径（推荐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Times New Roman" w:hAnsi="Times New Roman" w:cs="Times New Roman"/>
          <w:color w:val="333333"/>
        </w:rPr>
        <w:t>→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路线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Times New Roman" w:hAnsi="Times New Roman" w:cs="Times New Roman"/>
          <w:color w:val="333333"/>
        </w:rPr>
        <w:t>→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设施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美食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Times New Roman" w:hAnsi="Times New Roman" w:cs="Times New Roman"/>
          <w:color w:val="333333"/>
        </w:rPr>
        <w:t>→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日记检索）。</w:t>
      </w:r>
    </w:p>
    <w:p w14:paraId="5FEE422F" w14:textId="77777777" w:rsidR="00000000" w:rsidRDefault="00000000">
      <w:pPr>
        <w:pStyle w:val="a5"/>
        <w:numPr>
          <w:ilvl w:val="0"/>
          <w:numId w:val="4"/>
        </w:numPr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问题清单：按阻断</w:t>
      </w:r>
      <w:r>
        <w:rPr>
          <w:rFonts w:ascii="Open Sans" w:hAnsi="Open Sans" w:cs="Open Sans"/>
          <w:color w:val="333333"/>
        </w:rPr>
        <w:t xml:space="preserve"> / </w:t>
      </w:r>
      <w:r>
        <w:rPr>
          <w:rFonts w:ascii="Open Sans" w:hAnsi="Open Sans" w:cs="Open Sans" w:hint="eastAsia"/>
          <w:color w:val="333333"/>
        </w:rPr>
        <w:t>高</w:t>
      </w:r>
      <w:r>
        <w:rPr>
          <w:rFonts w:ascii="Open Sans" w:hAnsi="Open Sans" w:cs="Open Sans"/>
          <w:color w:val="333333"/>
        </w:rPr>
        <w:t xml:space="preserve"> / </w:t>
      </w:r>
      <w:r>
        <w:rPr>
          <w:rFonts w:ascii="Open Sans" w:hAnsi="Open Sans" w:cs="Open Sans" w:hint="eastAsia"/>
          <w:color w:val="333333"/>
        </w:rPr>
        <w:t>中</w:t>
      </w:r>
      <w:r>
        <w:rPr>
          <w:rFonts w:ascii="Open Sans" w:hAnsi="Open Sans" w:cs="Open Sans"/>
          <w:color w:val="333333"/>
        </w:rPr>
        <w:t xml:space="preserve"> / </w:t>
      </w:r>
      <w:r>
        <w:rPr>
          <w:rFonts w:ascii="Open Sans" w:hAnsi="Open Sans" w:cs="Open Sans" w:hint="eastAsia"/>
          <w:color w:val="333333"/>
        </w:rPr>
        <w:t>低分级，注明复现步骤与责任字段。</w:t>
      </w:r>
    </w:p>
    <w:p w14:paraId="526DF2FE" w14:textId="77777777" w:rsidR="00000000" w:rsidRDefault="00000000">
      <w:pPr>
        <w:pStyle w:val="a5"/>
        <w:numPr>
          <w:ilvl w:val="0"/>
          <w:numId w:val="4"/>
        </w:numPr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修复计划：与第十周、第十一周计划衔接。</w:t>
      </w:r>
    </w:p>
    <w:p w14:paraId="5F0FE605" w14:textId="77777777" w:rsidR="00000000" w:rsidRDefault="00000000">
      <w:pPr>
        <w:pStyle w:val="2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2. </w:t>
      </w:r>
      <w:r>
        <w:rPr>
          <w:rFonts w:ascii="Open Sans" w:hAnsi="Open Sans" w:cs="Open Sans" w:hint="eastAsia"/>
          <w:color w:val="333333"/>
        </w:rPr>
        <w:t>第十周（</w:t>
      </w:r>
      <w:r>
        <w:rPr>
          <w:rFonts w:ascii="Open Sans" w:hAnsi="Open Sans" w:cs="Open Sans"/>
          <w:color w:val="333333"/>
        </w:rPr>
        <w:t>2026-05-04</w:t>
      </w:r>
      <w:r>
        <w:rPr>
          <w:rFonts w:ascii="Open Sans" w:hAnsi="Open Sans" w:cs="Open Sans" w:hint="eastAsia"/>
          <w:color w:val="333333"/>
        </w:rPr>
        <w:t>～</w:t>
      </w:r>
      <w:r>
        <w:rPr>
          <w:rFonts w:ascii="Open Sans" w:hAnsi="Open Sans" w:cs="Open Sans"/>
          <w:color w:val="333333"/>
        </w:rPr>
        <w:t>2026-05-10</w:t>
      </w:r>
      <w:r>
        <w:rPr>
          <w:rFonts w:ascii="Open Sans" w:hAnsi="Open Sans" w:cs="Open Sans" w:hint="eastAsia"/>
          <w:color w:val="333333"/>
        </w:rPr>
        <w:t>）：计划目标与阶段总结</w:t>
      </w:r>
    </w:p>
    <w:p w14:paraId="7FF82F4B" w14:textId="77777777" w:rsidR="00000000" w:rsidRDefault="00000000">
      <w:pPr>
        <w:pStyle w:val="3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2.1 </w:t>
      </w:r>
      <w:r>
        <w:rPr>
          <w:rFonts w:ascii="Open Sans" w:hAnsi="Open Sans" w:cs="Open Sans" w:hint="eastAsia"/>
          <w:color w:val="333333"/>
        </w:rPr>
        <w:t>计划目标</w:t>
      </w:r>
    </w:p>
    <w:p w14:paraId="6F3B5C82" w14:textId="77777777" w:rsidR="00000000" w:rsidRDefault="00000000">
      <w:pPr>
        <w:pStyle w:val="a5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lastRenderedPageBreak/>
        <w:t>第十周侧重：</w:t>
      </w:r>
    </w:p>
    <w:p w14:paraId="5358E8A0" w14:textId="77777777" w:rsidR="00000000" w:rsidRDefault="00000000">
      <w:pPr>
        <w:pStyle w:val="a5"/>
        <w:numPr>
          <w:ilvl w:val="0"/>
          <w:numId w:val="6"/>
        </w:numPr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后端：日记</w:t>
      </w:r>
      <w:r>
        <w:rPr>
          <w:rFonts w:ascii="Open Sans" w:hAnsi="Open Sans" w:cs="Open Sans"/>
          <w:color w:val="333333"/>
        </w:rPr>
        <w:t xml:space="preserve"> CRUD</w:t>
      </w:r>
      <w:r>
        <w:rPr>
          <w:rFonts w:ascii="Open Sans" w:hAnsi="Open Sans" w:cs="Open Sans" w:hint="eastAsia"/>
          <w:color w:val="333333"/>
        </w:rPr>
        <w:t>、评分、检索。</w:t>
      </w:r>
    </w:p>
    <w:p w14:paraId="14E136A4" w14:textId="77777777" w:rsidR="00000000" w:rsidRDefault="00000000">
      <w:pPr>
        <w:pStyle w:val="a5"/>
        <w:numPr>
          <w:ilvl w:val="0"/>
          <w:numId w:val="6"/>
        </w:numPr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前端：日记列表、详情、编辑。</w:t>
      </w:r>
    </w:p>
    <w:p w14:paraId="1EF9F65D" w14:textId="77777777" w:rsidR="00000000" w:rsidRDefault="00000000">
      <w:pPr>
        <w:pStyle w:val="a5"/>
        <w:numPr>
          <w:ilvl w:val="0"/>
          <w:numId w:val="6"/>
        </w:numPr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权限：与鉴权、角色相关的联调与收敛。</w:t>
      </w:r>
    </w:p>
    <w:p w14:paraId="766D1DE1" w14:textId="77777777" w:rsidR="00000000" w:rsidRDefault="00000000">
      <w:pPr>
        <w:pStyle w:val="3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2.2 </w:t>
      </w:r>
      <w:r>
        <w:rPr>
          <w:rFonts w:ascii="Open Sans" w:hAnsi="Open Sans" w:cs="Open Sans" w:hint="eastAsia"/>
          <w:color w:val="333333"/>
        </w:rPr>
        <w:t>与前期周报的关系</w:t>
      </w:r>
    </w:p>
    <w:p w14:paraId="5320479C" w14:textId="77777777" w:rsidR="00000000" w:rsidRDefault="00000000">
      <w:pPr>
        <w:pStyle w:val="a5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依据第七周周报，日记模块在「上传</w:t>
      </w:r>
      <w:r>
        <w:rPr>
          <w:rFonts w:ascii="Open Sans" w:hAnsi="Open Sans" w:cs="Open Sans"/>
          <w:color w:val="333333"/>
        </w:rPr>
        <w:t>—</w:t>
      </w:r>
      <w:r>
        <w:rPr>
          <w:rFonts w:ascii="Open Sans" w:hAnsi="Open Sans" w:cs="Open Sans" w:hint="eastAsia"/>
          <w:color w:val="333333"/>
        </w:rPr>
        <w:t>回传</w:t>
      </w:r>
      <w:r>
        <w:rPr>
          <w:rFonts w:ascii="Open Sans" w:hAnsi="Open Sans" w:cs="Open Sans"/>
          <w:color w:val="333333"/>
        </w:rPr>
        <w:t>—</w:t>
      </w:r>
      <w:r>
        <w:rPr>
          <w:rFonts w:ascii="Open Sans" w:hAnsi="Open Sans" w:cs="Open Sans" w:hint="eastAsia"/>
          <w:color w:val="333333"/>
        </w:rPr>
        <w:t>提交</w:t>
      </w:r>
      <w:r>
        <w:rPr>
          <w:rFonts w:ascii="Open Sans" w:hAnsi="Open Sans" w:cs="Open Sans"/>
          <w:color w:val="333333"/>
        </w:rPr>
        <w:t>—</w:t>
      </w:r>
      <w:r>
        <w:rPr>
          <w:rFonts w:ascii="Open Sans" w:hAnsi="Open Sans" w:cs="Open Sans" w:hint="eastAsia"/>
          <w:color w:val="333333"/>
        </w:rPr>
        <w:t>详情浏览」「统一搜索与单字匹配」「</w:t>
      </w:r>
      <w:r>
        <w:rPr>
          <w:rFonts w:ascii="Open Sans" w:hAnsi="Open Sans" w:cs="Open Sans"/>
          <w:color w:val="333333"/>
        </w:rPr>
        <w:t xml:space="preserve">DB </w:t>
      </w:r>
      <w:r>
        <w:rPr>
          <w:rFonts w:ascii="Open Sans" w:hAnsi="Open Sans" w:cs="Open Sans" w:hint="eastAsia"/>
          <w:color w:val="333333"/>
        </w:rPr>
        <w:t>离线容错」「正文压缩存储」等方面已有较完整迭代；因此第十周更强调：</w:t>
      </w:r>
    </w:p>
    <w:p w14:paraId="186803B7" w14:textId="77777777" w:rsidR="00000000" w:rsidRDefault="00000000">
      <w:pPr>
        <w:pStyle w:val="a5"/>
        <w:numPr>
          <w:ilvl w:val="0"/>
          <w:numId w:val="8"/>
        </w:numPr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权限与角色：列表</w:t>
      </w:r>
      <w:r>
        <w:rPr>
          <w:rFonts w:ascii="Open Sans" w:hAnsi="Open Sans" w:cs="Open Sans"/>
          <w:color w:val="333333"/>
        </w:rPr>
        <w:t xml:space="preserve"> / </w:t>
      </w:r>
      <w:r>
        <w:rPr>
          <w:rFonts w:ascii="Open Sans" w:hAnsi="Open Sans" w:cs="Open Sans" w:hint="eastAsia"/>
          <w:color w:val="333333"/>
        </w:rPr>
        <w:t>编辑</w:t>
      </w:r>
      <w:r>
        <w:rPr>
          <w:rFonts w:ascii="Open Sans" w:hAnsi="Open Sans" w:cs="Open Sans"/>
          <w:color w:val="333333"/>
        </w:rPr>
        <w:t xml:space="preserve"> / </w:t>
      </w:r>
      <w:r>
        <w:rPr>
          <w:rFonts w:ascii="Open Sans" w:hAnsi="Open Sans" w:cs="Open Sans" w:hint="eastAsia"/>
          <w:color w:val="333333"/>
        </w:rPr>
        <w:t>评分等接口与页面在登录态、越权、错误提示上的一致性（与计划书中「日记</w:t>
      </w:r>
      <w:r>
        <w:rPr>
          <w:rFonts w:ascii="Open Sans" w:hAnsi="Open Sans" w:cs="Open Sans"/>
          <w:color w:val="333333"/>
        </w:rPr>
        <w:t xml:space="preserve"> CRUD </w:t>
      </w:r>
      <w:r>
        <w:rPr>
          <w:rFonts w:ascii="Open Sans" w:hAnsi="Open Sans" w:cs="Open Sans" w:hint="eastAsia"/>
          <w:color w:val="333333"/>
        </w:rPr>
        <w:t>与评分」前置条件「鉴权模块稳定」呼应）。</w:t>
      </w:r>
    </w:p>
    <w:p w14:paraId="6963475D" w14:textId="77777777" w:rsidR="00000000" w:rsidRDefault="00000000">
      <w:pPr>
        <w:pStyle w:val="a5"/>
        <w:numPr>
          <w:ilvl w:val="0"/>
          <w:numId w:val="8"/>
        </w:numPr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可运行版本：将日记主链路纳入与中检后修复并行的版本标签或发布说明，便于第十一周进入「稳定</w:t>
      </w:r>
      <w:r>
        <w:rPr>
          <w:rFonts w:ascii="Open Sans" w:hAnsi="Open Sans" w:cs="Open Sans"/>
          <w:color w:val="333333"/>
        </w:rPr>
        <w:t xml:space="preserve"> 1</w:t>
      </w:r>
      <w:r>
        <w:rPr>
          <w:rFonts w:ascii="Open Sans" w:hAnsi="Open Sans" w:cs="Open Sans" w:hint="eastAsia"/>
          <w:color w:val="333333"/>
        </w:rPr>
        <w:t>」阶段。</w:t>
      </w:r>
    </w:p>
    <w:p w14:paraId="20B5AA5B" w14:textId="77777777" w:rsidR="00000000" w:rsidRDefault="00000000">
      <w:pPr>
        <w:pStyle w:val="a5"/>
        <w:numPr>
          <w:ilvl w:val="0"/>
          <w:numId w:val="8"/>
        </w:numPr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回归与文档：接口契约、</w:t>
      </w:r>
      <w:r>
        <w:rPr>
          <w:rStyle w:val="HTML"/>
          <w:color w:val="333333"/>
        </w:rPr>
        <w:t>code</w:t>
      </w:r>
      <w:r>
        <w:rPr>
          <w:rFonts w:ascii="Open Sans" w:hAnsi="Open Sans" w:cs="Open Sans"/>
          <w:color w:val="333333"/>
        </w:rPr>
        <w:t xml:space="preserve"> / </w:t>
      </w:r>
      <w:r>
        <w:rPr>
          <w:rStyle w:val="HTML"/>
          <w:color w:val="333333"/>
        </w:rPr>
        <w:t>data</w:t>
      </w:r>
      <w:r>
        <w:rPr>
          <w:rFonts w:ascii="Open Sans" w:hAnsi="Open Sans" w:cs="Open Sans"/>
          <w:color w:val="333333"/>
        </w:rPr>
        <w:t xml:space="preserve"> / </w:t>
      </w:r>
      <w:r>
        <w:rPr>
          <w:rStyle w:val="HTML"/>
          <w:color w:val="333333"/>
        </w:rPr>
        <w:t>message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与需求</w:t>
      </w:r>
      <w:r>
        <w:rPr>
          <w:rFonts w:ascii="Open Sans" w:hAnsi="Open Sans" w:cs="Open Sans"/>
          <w:color w:val="333333"/>
        </w:rPr>
        <w:t xml:space="preserve"> FR </w:t>
      </w:r>
      <w:r>
        <w:rPr>
          <w:rFonts w:ascii="Open Sans" w:hAnsi="Open Sans" w:cs="Open Sans" w:hint="eastAsia"/>
          <w:color w:val="333333"/>
        </w:rPr>
        <w:t>编号的一致核对。</w:t>
      </w:r>
    </w:p>
    <w:p w14:paraId="74552A4A" w14:textId="77777777" w:rsidR="00000000" w:rsidRDefault="00000000">
      <w:pPr>
        <w:pStyle w:val="3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2.3 </w:t>
      </w:r>
      <w:r>
        <w:rPr>
          <w:rFonts w:ascii="Open Sans" w:hAnsi="Open Sans" w:cs="Open Sans" w:hint="eastAsia"/>
          <w:color w:val="333333"/>
        </w:rPr>
        <w:t>风险与应对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9"/>
        <w:gridCol w:w="819"/>
        <w:gridCol w:w="4032"/>
      </w:tblGrid>
      <w:tr w:rsidR="00000000" w14:paraId="157A58E5" w14:textId="77777777">
        <w:trPr>
          <w:divId w:val="642780309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452CC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 w:hint="eastAsia"/>
                <w:b/>
                <w:bCs/>
                <w:color w:val="333333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8FD9B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 w:hint="eastAsia"/>
                <w:b/>
                <w:bCs/>
                <w:color w:val="333333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5DE34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 w:hint="eastAsia"/>
                <w:b/>
                <w:bCs/>
                <w:color w:val="333333"/>
              </w:rPr>
              <w:t>应对</w:t>
            </w:r>
          </w:p>
        </w:tc>
      </w:tr>
      <w:tr w:rsidR="00000000" w14:paraId="7EDB8F1A" w14:textId="77777777">
        <w:trPr>
          <w:divId w:val="642780309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1012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中检后集中改缺陷导致日记联调反复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6760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AFF9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冻结接口契约，缺陷分级；先阻断后体验</w:t>
            </w:r>
          </w:p>
        </w:tc>
      </w:tr>
      <w:tr w:rsidR="00000000" w14:paraId="29E09DB6" w14:textId="77777777">
        <w:trPr>
          <w:divId w:val="642780309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DDD7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检索与存储策略变更未同步设计文档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521C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D8E1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变更同步</w:t>
            </w:r>
            <w:proofErr w:type="gramStart"/>
            <w:r>
              <w:rPr>
                <w:rFonts w:ascii="Open Sans" w:hAnsi="Open Sans" w:cs="Open Sans" w:hint="eastAsia"/>
                <w:color w:val="333333"/>
              </w:rPr>
              <w:t>至需求</w:t>
            </w:r>
            <w:proofErr w:type="gramEnd"/>
            <w:r>
              <w:rPr>
                <w:rFonts w:ascii="Open Sans" w:hAnsi="Open Sans" w:cs="Open Sans"/>
                <w:color w:val="333333"/>
              </w:rPr>
              <w:t xml:space="preserve"> / </w:t>
            </w:r>
            <w:r>
              <w:rPr>
                <w:rFonts w:ascii="Open Sans" w:hAnsi="Open Sans" w:cs="Open Sans" w:hint="eastAsia"/>
                <w:color w:val="333333"/>
              </w:rPr>
              <w:t>技术设计；保留验证记录</w:t>
            </w:r>
          </w:p>
        </w:tc>
      </w:tr>
      <w:tr w:rsidR="00000000" w14:paraId="30EE2842" w14:textId="77777777">
        <w:trPr>
          <w:divId w:val="642780309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F200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自动化</w:t>
            </w:r>
            <w:proofErr w:type="gramStart"/>
            <w:r>
              <w:rPr>
                <w:rFonts w:ascii="Open Sans" w:hAnsi="Open Sans" w:cs="Open Sans" w:hint="eastAsia"/>
                <w:color w:val="333333"/>
              </w:rPr>
              <w:t>测试仍</w:t>
            </w:r>
            <w:proofErr w:type="gramEnd"/>
            <w:r>
              <w:rPr>
                <w:rFonts w:ascii="Open Sans" w:hAnsi="Open Sans" w:cs="Open Sans" w:hint="eastAsia"/>
                <w:color w:val="333333"/>
              </w:rPr>
              <w:t>薄弱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D001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85D3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优先日记</w:t>
            </w:r>
            <w:proofErr w:type="gramStart"/>
            <w:r>
              <w:rPr>
                <w:rFonts w:ascii="Open Sans" w:hAnsi="Open Sans" w:cs="Open Sans" w:hint="eastAsia"/>
                <w:color w:val="333333"/>
              </w:rPr>
              <w:t>服务层单测</w:t>
            </w:r>
            <w:proofErr w:type="gramEnd"/>
            <w:r>
              <w:rPr>
                <w:rFonts w:ascii="Open Sans" w:hAnsi="Open Sans" w:cs="Open Sans" w:hint="eastAsia"/>
                <w:color w:val="333333"/>
              </w:rPr>
              <w:t>与主链路冒烟</w:t>
            </w:r>
          </w:p>
        </w:tc>
      </w:tr>
    </w:tbl>
    <w:p w14:paraId="3B8B34CF" w14:textId="77777777" w:rsidR="00000000" w:rsidRDefault="00000000">
      <w:pPr>
        <w:pStyle w:val="a5"/>
        <w:divId w:val="642780309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 </w:t>
      </w:r>
    </w:p>
    <w:p w14:paraId="6675B1F4" w14:textId="77777777" w:rsidR="00543412" w:rsidRDefault="00000000">
      <w:pPr>
        <w:pStyle w:val="a5"/>
        <w:divId w:val="642780309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编写日期</w:t>
      </w:r>
      <w:r>
        <w:rPr>
          <w:rFonts w:ascii="Open Sans" w:hAnsi="Open Sans" w:cs="Open Sans" w:hint="eastAsia"/>
          <w:color w:val="333333"/>
        </w:rPr>
        <w:t>：</w:t>
      </w:r>
      <w:r>
        <w:rPr>
          <w:rFonts w:ascii="Open Sans" w:hAnsi="Open Sans" w:cs="Open Sans"/>
          <w:color w:val="333333"/>
        </w:rPr>
        <w:t>2026-05-10</w:t>
      </w:r>
    </w:p>
    <w:sectPr w:rsidR="00543412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43432" w14:textId="77777777" w:rsidR="00543412" w:rsidRDefault="00543412">
      <w:pPr>
        <w:rPr>
          <w:rFonts w:hint="eastAsia"/>
        </w:rPr>
      </w:pPr>
      <w:r>
        <w:rPr>
          <w:rFonts w:hint="eastAsia"/>
        </w:rPr>
        <w:separator/>
      </w:r>
    </w:p>
  </w:endnote>
  <w:endnote w:type="continuationSeparator" w:id="0">
    <w:p w14:paraId="53F20A80" w14:textId="77777777" w:rsidR="00543412" w:rsidRDefault="00543412">
      <w:pPr>
        <w:rPr>
          <w:rFonts w:hint="eastAsia"/>
        </w:rPr>
      </w:pPr>
      <w:r>
        <w:rPr>
          <w:rFonts w:hint="eastAsia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monospace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AD9AC" w14:textId="77777777" w:rsidR="00543412" w:rsidRDefault="00543412">
      <w:r>
        <w:rPr>
          <w:rFonts w:hint="eastAsia"/>
        </w:rPr>
        <w:separator/>
      </w:r>
    </w:p>
  </w:footnote>
  <w:footnote w:type="continuationSeparator" w:id="0">
    <w:p w14:paraId="73B134DB" w14:textId="77777777" w:rsidR="00543412" w:rsidRDefault="00543412">
      <w:pPr>
        <w:rPr>
          <w:rFonts w:hint="eastAsia"/>
        </w:rPr>
      </w:pPr>
      <w:r>
        <w:rPr>
          <w:rFonts w:hint="eastAsia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676"/>
    <w:multiLevelType w:val="multilevel"/>
    <w:tmpl w:val="AE9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F0517"/>
    <w:multiLevelType w:val="multilevel"/>
    <w:tmpl w:val="EF54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C6F5B"/>
    <w:multiLevelType w:val="multilevel"/>
    <w:tmpl w:val="8AF6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F2716"/>
    <w:multiLevelType w:val="multilevel"/>
    <w:tmpl w:val="86A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672754">
    <w:abstractNumId w:val="0"/>
  </w:num>
  <w:num w:numId="2" w16cid:durableId="15459429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44829024">
    <w:abstractNumId w:val="2"/>
  </w:num>
  <w:num w:numId="4" w16cid:durableId="411465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8397023">
    <w:abstractNumId w:val="1"/>
  </w:num>
  <w:num w:numId="6" w16cid:durableId="99152105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28332200">
    <w:abstractNumId w:val="3"/>
  </w:num>
  <w:num w:numId="8" w16cid:durableId="189368558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DD"/>
    <w:rsid w:val="000B5BC3"/>
    <w:rsid w:val="00543412"/>
    <w:rsid w:val="005E7481"/>
    <w:rsid w:val="00CC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85B5C"/>
  <w15:chartTrackingRefBased/>
  <w15:docId w15:val="{3678F6D7-81A8-4DAF-B152-C6CE3C89B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6" w:space="0" w:color="EEEEEE"/>
      </w:pBdr>
      <w:spacing w:before="100" w:beforeAutospacing="1" w:after="100" w:afterAutospacing="1"/>
      <w:outlineLvl w:val="0"/>
    </w:pPr>
    <w:rPr>
      <w:b/>
      <w:bCs/>
      <w:kern w:val="36"/>
      <w:sz w:val="54"/>
      <w:szCs w:val="5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0" w:color="EEEEEE"/>
      </w:pBdr>
      <w:spacing w:before="100" w:beforeAutospacing="1" w:after="100" w:afterAutospacing="1"/>
      <w:outlineLvl w:val="1"/>
    </w:pPr>
    <w:rPr>
      <w:b/>
      <w:bCs/>
      <w:sz w:val="42"/>
      <w:szCs w:val="4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sz w:val="30"/>
      <w:szCs w:val="30"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</w:rPr>
  </w:style>
  <w:style w:type="paragraph" w:styleId="6">
    <w:name w:val="heading 6"/>
    <w:basedOn w:val="a"/>
    <w:link w:val="60"/>
    <w:uiPriority w:val="9"/>
    <w:qFormat/>
    <w:pPr>
      <w:spacing w:before="100" w:beforeAutospacing="1" w:after="100" w:afterAutospacing="1"/>
      <w:outlineLvl w:val="5"/>
    </w:pPr>
    <w:rPr>
      <w:b/>
      <w:bCs/>
      <w:color w:val="77777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4183C4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4183C4"/>
      <w:u w:val="single"/>
    </w:rPr>
  </w:style>
  <w:style w:type="character" w:styleId="HTML">
    <w:name w:val="HTML Code"/>
    <w:basedOn w:val="a0"/>
    <w:uiPriority w:val="99"/>
    <w:semiHidden/>
    <w:unhideWhenUsed/>
    <w:rPr>
      <w:rFonts w:ascii="var(--monospace)" w:eastAsia="宋体" w:hAnsi="var(--monospace)" w:cs="宋体" w:hint="default"/>
      <w:sz w:val="22"/>
      <w:szCs w:val="22"/>
      <w:bdr w:val="single" w:sz="6" w:space="2" w:color="E7EAED" w:frame="1"/>
      <w:shd w:val="clear" w:color="auto" w:fill="F3F4F4"/>
    </w:rPr>
  </w:style>
  <w:style w:type="character" w:customStyle="1" w:styleId="10">
    <w:name w:val="标题 1 字符"/>
    <w:basedOn w:val="a0"/>
    <w:link w:val="1"/>
    <w:uiPriority w:val="9"/>
    <w:locked/>
    <w:rPr>
      <w:rFonts w:asciiTheme="majorHAnsi" w:eastAsiaTheme="majorEastAsia" w:hAnsiTheme="majorHAnsi" w:cstheme="majorBidi" w:hint="eastAsia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theme="majorBidi" w:hint="eastAsia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Theme="majorHAnsi" w:eastAsiaTheme="majorEastAsia" w:hAnsiTheme="majorHAnsi" w:cstheme="majorBidi" w:hint="eastAsia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locked/>
    <w:rPr>
      <w:rFonts w:asciiTheme="minorHAnsi" w:eastAsiaTheme="minorEastAsia" w:hAnsiTheme="minorHAnsi" w:cstheme="majorBidi" w:hint="eastAsia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locked/>
    <w:rPr>
      <w:rFonts w:asciiTheme="minorHAnsi" w:eastAsiaTheme="minorEastAsia" w:hAnsiTheme="minorHAnsi" w:cstheme="majorBidi" w:hint="eastAsia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locked/>
    <w:rPr>
      <w:rFonts w:asciiTheme="minorHAnsi" w:eastAsiaTheme="minorEastAsia" w:hAnsiTheme="minorHAnsi" w:cstheme="majorBidi" w:hint="eastAsia"/>
      <w:b/>
      <w:bCs/>
      <w:color w:val="0F4761" w:themeColor="accent1" w:themeShade="BF"/>
      <w:sz w:val="24"/>
      <w:szCs w:val="24"/>
    </w:rPr>
  </w:style>
  <w:style w:type="character" w:styleId="HTML0">
    <w:name w:val="HTML Keyboard"/>
    <w:basedOn w:val="a0"/>
    <w:uiPriority w:val="99"/>
    <w:semiHidden/>
    <w:unhideWhenUsed/>
    <w:rPr>
      <w:rFonts w:ascii="宋体" w:eastAsia="宋体" w:hAnsi="宋体" w:cs="宋体" w:hint="eastAsia"/>
      <w:color w:val="242729"/>
      <w:sz w:val="19"/>
      <w:szCs w:val="19"/>
      <w:bdr w:val="single" w:sz="6" w:space="1" w:color="ADB3B9" w:frame="1"/>
      <w:shd w:val="clear" w:color="auto" w:fill="FFFFFF"/>
    </w:rPr>
  </w:style>
  <w:style w:type="paragraph" w:styleId="HTML1">
    <w:name w:val="HTML Preformatted"/>
    <w:basedOn w:val="a"/>
    <w:link w:val="HTML2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monospace)" w:hAnsi="var(--monospace)"/>
    </w:rPr>
  </w:style>
  <w:style w:type="character" w:customStyle="1" w:styleId="HTML2">
    <w:name w:val="HTML 预设格式 字符"/>
    <w:basedOn w:val="a0"/>
    <w:link w:val="HTML1"/>
    <w:uiPriority w:val="99"/>
    <w:semiHidden/>
    <w:locked/>
    <w:rPr>
      <w:rFonts w:ascii="Courier New" w:eastAsia="宋体" w:hAnsi="Courier New" w:cs="Courier New" w:hint="default"/>
    </w:rPr>
  </w:style>
  <w:style w:type="character" w:styleId="HTML3">
    <w:name w:val="HTML Sample"/>
    <w:basedOn w:val="a0"/>
    <w:uiPriority w:val="99"/>
    <w:semiHidden/>
    <w:unhideWhenUsed/>
    <w:rPr>
      <w:rFonts w:ascii="var(--monospace)" w:eastAsia="宋体" w:hAnsi="var(--monospace)" w:cs="宋体" w:hint="default"/>
    </w:rPr>
  </w:style>
  <w:style w:type="character" w:styleId="HTML4">
    <w:name w:val="HTML Typewriter"/>
    <w:basedOn w:val="a0"/>
    <w:uiPriority w:val="99"/>
    <w:semiHidden/>
    <w:unhideWhenUsed/>
    <w:rPr>
      <w:rFonts w:ascii="var(--monospace)" w:eastAsia="宋体" w:hAnsi="var(--monospace)" w:cs="宋体" w:hint="default"/>
      <w:sz w:val="22"/>
      <w:szCs w:val="22"/>
      <w:bdr w:val="single" w:sz="6" w:space="2" w:color="E7EAED" w:frame="1"/>
      <w:shd w:val="clear" w:color="auto" w:fill="F8F8F8"/>
    </w:rPr>
  </w:style>
  <w:style w:type="paragraph" w:customStyle="1" w:styleId="msonormal0">
    <w:name w:val="msonormal"/>
    <w:basedOn w:val="a"/>
    <w:uiPriority w:val="99"/>
    <w:pPr>
      <w:spacing w:before="192" w:after="192"/>
    </w:pPr>
  </w:style>
  <w:style w:type="paragraph" w:styleId="a5">
    <w:name w:val="Normal (Web)"/>
    <w:basedOn w:val="a"/>
    <w:uiPriority w:val="99"/>
    <w:semiHidden/>
    <w:unhideWhenUsed/>
    <w:pPr>
      <w:spacing w:before="192" w:after="192"/>
    </w:pPr>
  </w:style>
  <w:style w:type="paragraph" w:styleId="a6">
    <w:name w:val="header"/>
    <w:basedOn w:val="a"/>
    <w:link w:val="a7"/>
    <w:uiPriority w:val="99"/>
    <w:semiHidden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semiHidden/>
    <w:locked/>
    <w:rPr>
      <w:rFonts w:ascii="宋体" w:eastAsia="宋体" w:hAnsi="宋体" w:cs="宋体" w:hint="eastAsia"/>
      <w:sz w:val="18"/>
      <w:szCs w:val="18"/>
    </w:rPr>
  </w:style>
  <w:style w:type="paragraph" w:styleId="a8">
    <w:name w:val="footer"/>
    <w:basedOn w:val="a"/>
    <w:link w:val="a9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semiHidden/>
    <w:locked/>
    <w:rPr>
      <w:rFonts w:ascii="宋体" w:eastAsia="宋体" w:hAnsi="宋体" w:cs="宋体" w:hint="eastAsia"/>
      <w:sz w:val="18"/>
      <w:szCs w:val="18"/>
    </w:rPr>
  </w:style>
  <w:style w:type="paragraph" w:customStyle="1" w:styleId="hidden">
    <w:name w:val="hidden"/>
    <w:basedOn w:val="a"/>
    <w:uiPriority w:val="99"/>
    <w:rPr>
      <w:vanish/>
    </w:rPr>
  </w:style>
  <w:style w:type="paragraph" w:customStyle="1" w:styleId="md-blockmeta">
    <w:name w:val="md-blockmeta"/>
    <w:basedOn w:val="a"/>
    <w:uiPriority w:val="99"/>
    <w:rPr>
      <w:b/>
      <w:bCs/>
      <w:i/>
      <w:iCs/>
      <w:color w:val="CCCCCC"/>
    </w:rPr>
  </w:style>
  <w:style w:type="paragraph" w:customStyle="1" w:styleId="codemirror-gutters">
    <w:name w:val="codemirror-gutters"/>
    <w:basedOn w:val="a"/>
    <w:uiPriority w:val="99"/>
    <w:pPr>
      <w:ind w:right="60"/>
    </w:pPr>
  </w:style>
  <w:style w:type="paragraph" w:customStyle="1" w:styleId="codemirror">
    <w:name w:val="codemirror"/>
    <w:basedOn w:val="a"/>
    <w:uiPriority w:val="99"/>
  </w:style>
  <w:style w:type="paragraph" w:customStyle="1" w:styleId="codemirror-lines">
    <w:name w:val="codemirror-lines"/>
    <w:basedOn w:val="a"/>
    <w:uiPriority w:val="99"/>
  </w:style>
  <w:style w:type="paragraph" w:customStyle="1" w:styleId="md-fences">
    <w:name w:val="md-fences"/>
    <w:basedOn w:val="a"/>
    <w:uiPriority w:val="99"/>
    <w:pPr>
      <w:pBdr>
        <w:top w:val="single" w:sz="6" w:space="2" w:color="E7EAED"/>
        <w:left w:val="single" w:sz="6" w:space="3" w:color="E7EAED"/>
        <w:bottom w:val="single" w:sz="6" w:space="0" w:color="E7EAED"/>
        <w:right w:val="single" w:sz="6" w:space="3" w:color="E7EAED"/>
      </w:pBdr>
      <w:shd w:val="clear" w:color="auto" w:fill="F8F8F8"/>
      <w:spacing w:before="225" w:after="225"/>
    </w:pPr>
    <w:rPr>
      <w:sz w:val="22"/>
      <w:szCs w:val="22"/>
    </w:rPr>
  </w:style>
  <w:style w:type="paragraph" w:customStyle="1" w:styleId="md-fences-adv-panel">
    <w:name w:val="md-fences-adv-panel"/>
    <w:basedOn w:val="a"/>
    <w:uiPriority w:val="99"/>
    <w:pPr>
      <w:spacing w:before="150"/>
      <w:jc w:val="center"/>
    </w:pPr>
  </w:style>
  <w:style w:type="paragraph" w:customStyle="1" w:styleId="footnotes">
    <w:name w:val="footnotes"/>
    <w:basedOn w:val="a"/>
    <w:uiPriority w:val="99"/>
    <w:pPr>
      <w:spacing w:before="240" w:after="240"/>
    </w:pPr>
  </w:style>
  <w:style w:type="paragraph" w:customStyle="1" w:styleId="md-reset">
    <w:name w:val="md-reset"/>
    <w:basedOn w:val="a"/>
    <w:uiPriority w:val="99"/>
  </w:style>
  <w:style w:type="paragraph" w:customStyle="1" w:styleId="footnotes-area">
    <w:name w:val="footnotes-area"/>
    <w:basedOn w:val="a"/>
    <w:uiPriority w:val="99"/>
    <w:rPr>
      <w:color w:val="888888"/>
    </w:rPr>
  </w:style>
  <w:style w:type="paragraph" w:customStyle="1" w:styleId="footnote-line">
    <w:name w:val="footnote-line"/>
    <w:basedOn w:val="a"/>
    <w:uiPriority w:val="99"/>
    <w:pPr>
      <w:spacing w:before="171"/>
    </w:pPr>
    <w:rPr>
      <w:sz w:val="17"/>
      <w:szCs w:val="17"/>
    </w:rPr>
  </w:style>
  <w:style w:type="paragraph" w:customStyle="1" w:styleId="md-math-block">
    <w:name w:val="md-math-block"/>
    <w:basedOn w:val="a"/>
    <w:uiPriority w:val="99"/>
  </w:style>
  <w:style w:type="paragraph" w:customStyle="1" w:styleId="md-toc-content">
    <w:name w:val="md-toc-content"/>
    <w:basedOn w:val="a"/>
    <w:uiPriority w:val="99"/>
  </w:style>
  <w:style w:type="paragraph" w:customStyle="1" w:styleId="md-toc-item">
    <w:name w:val="md-toc-item"/>
    <w:basedOn w:val="a"/>
    <w:uiPriority w:val="99"/>
    <w:rPr>
      <w:color w:val="4183C4"/>
    </w:rPr>
  </w:style>
  <w:style w:type="paragraph" w:customStyle="1" w:styleId="reversefootnote">
    <w:name w:val="reversefootnote"/>
    <w:basedOn w:val="a"/>
    <w:uiPriority w:val="99"/>
    <w:rPr>
      <w:rFonts w:ascii="Arial" w:hAnsi="Arial" w:cs="Arial"/>
    </w:rPr>
  </w:style>
  <w:style w:type="paragraph" w:customStyle="1" w:styleId="md-attr">
    <w:name w:val="md-attr"/>
    <w:basedOn w:val="a"/>
    <w:uiPriority w:val="99"/>
    <w:rPr>
      <w:vanish/>
    </w:rPr>
  </w:style>
  <w:style w:type="paragraph" w:customStyle="1" w:styleId="md-comment">
    <w:name w:val="md-comment"/>
    <w:basedOn w:val="a"/>
    <w:uiPriority w:val="99"/>
    <w:rPr>
      <w:rFonts w:ascii="var(--monospace)" w:hAnsi="var(--monospace)"/>
      <w:color w:val="A27F03"/>
    </w:rPr>
  </w:style>
  <w:style w:type="paragraph" w:customStyle="1" w:styleId="mermaid-svg">
    <w:name w:val="mermaid-svg"/>
    <w:basedOn w:val="a"/>
    <w:uiPriority w:val="99"/>
    <w:pPr>
      <w:spacing w:before="100" w:beforeAutospacing="1" w:after="100" w:afterAutospacing="1"/>
    </w:pPr>
  </w:style>
  <w:style w:type="paragraph" w:customStyle="1" w:styleId="typora-export-sidebar">
    <w:name w:val="typora-export-sidebar"/>
    <w:basedOn w:val="a"/>
    <w:uiPriority w:val="99"/>
    <w:pPr>
      <w:spacing w:before="1200"/>
      <w:ind w:right="270"/>
    </w:pPr>
  </w:style>
  <w:style w:type="paragraph" w:customStyle="1" w:styleId="outline-expander">
    <w:name w:val="outline-expander"/>
    <w:basedOn w:val="a"/>
    <w:uiPriority w:val="99"/>
  </w:style>
  <w:style w:type="paragraph" w:customStyle="1" w:styleId="outline-item">
    <w:name w:val="outline-item"/>
    <w:basedOn w:val="a"/>
    <w:uiPriority w:val="99"/>
  </w:style>
  <w:style w:type="paragraph" w:customStyle="1" w:styleId="outline-label">
    <w:name w:val="outline-label"/>
    <w:basedOn w:val="a"/>
    <w:uiPriority w:val="99"/>
  </w:style>
  <w:style w:type="paragraph" w:customStyle="1" w:styleId="outline-children">
    <w:name w:val="outline-children"/>
    <w:basedOn w:val="a"/>
    <w:uiPriority w:val="99"/>
    <w:rPr>
      <w:vanish/>
    </w:rPr>
  </w:style>
  <w:style w:type="paragraph" w:customStyle="1" w:styleId="info-panel-tab-wrapper">
    <w:name w:val="info-panel-tab-wrapper"/>
    <w:basedOn w:val="a"/>
    <w:uiPriority w:val="99"/>
    <w:rPr>
      <w:vanish/>
    </w:rPr>
  </w:style>
  <w:style w:type="paragraph" w:customStyle="1" w:styleId="md-alert">
    <w:name w:val="md-alert"/>
    <w:basedOn w:val="a"/>
    <w:uiPriority w:val="99"/>
    <w:pPr>
      <w:pBdr>
        <w:left w:val="single" w:sz="24" w:space="12" w:color="000000"/>
      </w:pBdr>
      <w:spacing w:after="240"/>
    </w:pPr>
  </w:style>
  <w:style w:type="paragraph" w:customStyle="1" w:styleId="md-alert-text-note">
    <w:name w:val="md-alert-text-note"/>
    <w:basedOn w:val="a"/>
    <w:uiPriority w:val="99"/>
    <w:rPr>
      <w:color w:val="0969DA"/>
    </w:rPr>
  </w:style>
  <w:style w:type="paragraph" w:customStyle="1" w:styleId="md-alert-text-important">
    <w:name w:val="md-alert-text-important"/>
    <w:basedOn w:val="a"/>
    <w:uiPriority w:val="99"/>
    <w:rPr>
      <w:color w:val="8250DF"/>
    </w:rPr>
  </w:style>
  <w:style w:type="paragraph" w:customStyle="1" w:styleId="md-alert-text-warning">
    <w:name w:val="md-alert-text-warning"/>
    <w:basedOn w:val="a"/>
    <w:uiPriority w:val="99"/>
    <w:rPr>
      <w:color w:val="9A6700"/>
    </w:rPr>
  </w:style>
  <w:style w:type="paragraph" w:customStyle="1" w:styleId="md-alert-text-tip">
    <w:name w:val="md-alert-text-tip"/>
    <w:basedOn w:val="a"/>
    <w:uiPriority w:val="99"/>
    <w:rPr>
      <w:color w:val="1F883D"/>
    </w:rPr>
  </w:style>
  <w:style w:type="paragraph" w:customStyle="1" w:styleId="md-alert-text-caution">
    <w:name w:val="md-alert-text-caution"/>
    <w:basedOn w:val="a"/>
    <w:uiPriority w:val="99"/>
    <w:rPr>
      <w:color w:val="CF222E"/>
    </w:rPr>
  </w:style>
  <w:style w:type="paragraph" w:customStyle="1" w:styleId="md-alert-text">
    <w:name w:val="md-alert-text"/>
    <w:basedOn w:val="a"/>
    <w:uiPriority w:val="99"/>
    <w:rPr>
      <w:b/>
      <w:bCs/>
    </w:rPr>
  </w:style>
  <w:style w:type="paragraph" w:customStyle="1" w:styleId="code-tooltip">
    <w:name w:val="code-tooltip"/>
    <w:basedOn w:val="a"/>
    <w:uiPriority w:val="99"/>
    <w:pPr>
      <w:pBdr>
        <w:top w:val="single" w:sz="6" w:space="0" w:color="EEF2F2"/>
      </w:pBdr>
    </w:pPr>
  </w:style>
  <w:style w:type="paragraph" w:customStyle="1" w:styleId="md-mathjax-midline">
    <w:name w:val="md-mathjax-midline"/>
    <w:basedOn w:val="a"/>
    <w:uiPriority w:val="99"/>
    <w:pPr>
      <w:shd w:val="clear" w:color="auto" w:fill="FAFAFA"/>
    </w:pPr>
  </w:style>
  <w:style w:type="paragraph" w:customStyle="1" w:styleId="md-tag">
    <w:name w:val="md-tag"/>
    <w:basedOn w:val="a"/>
    <w:uiPriority w:val="99"/>
    <w:rPr>
      <w:color w:val="A7A7A7"/>
    </w:rPr>
  </w:style>
  <w:style w:type="paragraph" w:customStyle="1" w:styleId="md-toc">
    <w:name w:val="md-toc"/>
    <w:basedOn w:val="a"/>
    <w:uiPriority w:val="99"/>
    <w:pPr>
      <w:spacing w:before="300"/>
    </w:pPr>
  </w:style>
  <w:style w:type="paragraph" w:customStyle="1" w:styleId="sidebar-tabs">
    <w:name w:val="sidebar-tabs"/>
    <w:basedOn w:val="a"/>
    <w:uiPriority w:val="99"/>
  </w:style>
  <w:style w:type="paragraph" w:customStyle="1" w:styleId="md-lang">
    <w:name w:val="md-lang"/>
    <w:basedOn w:val="a"/>
    <w:uiPriority w:val="99"/>
    <w:rPr>
      <w:color w:val="B4654D"/>
    </w:rPr>
  </w:style>
  <w:style w:type="paragraph" w:customStyle="1" w:styleId="md-toc-inner">
    <w:name w:val="md-toc-inner"/>
    <w:basedOn w:val="a"/>
    <w:uiPriority w:val="99"/>
  </w:style>
  <w:style w:type="paragraph" w:customStyle="1" w:styleId="typora-export-content">
    <w:name w:val="typora-export-content"/>
    <w:basedOn w:val="a"/>
    <w:uiPriority w:val="99"/>
  </w:style>
  <w:style w:type="paragraph" w:customStyle="1" w:styleId="outline-content">
    <w:name w:val="outline-content"/>
    <w:basedOn w:val="a"/>
    <w:uiPriority w:val="99"/>
  </w:style>
  <w:style w:type="paragraph" w:customStyle="1" w:styleId="divider">
    <w:name w:val="divider"/>
    <w:basedOn w:val="a"/>
    <w:uiPriority w:val="99"/>
  </w:style>
  <w:style w:type="paragraph" w:customStyle="1" w:styleId="window-content">
    <w:name w:val="window-content"/>
    <w:basedOn w:val="a"/>
    <w:uiPriority w:val="99"/>
  </w:style>
  <w:style w:type="paragraph" w:customStyle="1" w:styleId="mathjaxdisplay">
    <w:name w:val="mathjax_display"/>
    <w:basedOn w:val="a"/>
    <w:uiPriority w:val="99"/>
  </w:style>
  <w:style w:type="paragraph" w:customStyle="1" w:styleId="btn">
    <w:name w:val="btn"/>
    <w:basedOn w:val="a"/>
    <w:uiPriority w:val="99"/>
  </w:style>
  <w:style w:type="paragraph" w:customStyle="1" w:styleId="mathjaxdisplay1">
    <w:name w:val="mathjax_display1"/>
    <w:basedOn w:val="a"/>
    <w:uiPriority w:val="99"/>
    <w:pPr>
      <w:spacing w:before="192"/>
    </w:pPr>
  </w:style>
  <w:style w:type="paragraph" w:customStyle="1" w:styleId="md-toc-inner1">
    <w:name w:val="md-toc-inner1"/>
    <w:basedOn w:val="a"/>
    <w:uiPriority w:val="99"/>
    <w:pPr>
      <w:spacing w:before="192" w:after="192"/>
    </w:pPr>
    <w:rPr>
      <w:b/>
      <w:bCs/>
    </w:rPr>
  </w:style>
  <w:style w:type="paragraph" w:customStyle="1" w:styleId="md-toc-inner2">
    <w:name w:val="md-toc-inner2"/>
    <w:basedOn w:val="a"/>
    <w:uiPriority w:val="99"/>
    <w:pPr>
      <w:spacing w:before="192" w:after="192"/>
      <w:ind w:left="480"/>
    </w:pPr>
  </w:style>
  <w:style w:type="paragraph" w:customStyle="1" w:styleId="md-toc-inner3">
    <w:name w:val="md-toc-inner3"/>
    <w:basedOn w:val="a"/>
    <w:uiPriority w:val="99"/>
    <w:pPr>
      <w:spacing w:before="192" w:after="192"/>
      <w:ind w:left="960"/>
    </w:pPr>
  </w:style>
  <w:style w:type="paragraph" w:customStyle="1" w:styleId="md-toc-inner4">
    <w:name w:val="md-toc-inner4"/>
    <w:basedOn w:val="a"/>
    <w:uiPriority w:val="99"/>
    <w:pPr>
      <w:spacing w:before="192" w:after="192"/>
      <w:ind w:left="1440"/>
    </w:pPr>
  </w:style>
  <w:style w:type="paragraph" w:customStyle="1" w:styleId="md-toc-inner5">
    <w:name w:val="md-toc-inner5"/>
    <w:basedOn w:val="a"/>
    <w:uiPriority w:val="99"/>
    <w:pPr>
      <w:spacing w:before="192" w:after="192"/>
      <w:ind w:left="1920"/>
    </w:pPr>
  </w:style>
  <w:style w:type="paragraph" w:customStyle="1" w:styleId="md-toc-inner6">
    <w:name w:val="md-toc-inner6"/>
    <w:basedOn w:val="a"/>
    <w:uiPriority w:val="99"/>
    <w:pPr>
      <w:spacing w:before="192" w:after="192"/>
      <w:ind w:left="2400"/>
    </w:pPr>
  </w:style>
  <w:style w:type="paragraph" w:customStyle="1" w:styleId="typora-export-content1">
    <w:name w:val="typora-export-content1"/>
    <w:basedOn w:val="a"/>
    <w:uiPriority w:val="99"/>
    <w:pPr>
      <w:spacing w:before="100" w:beforeAutospacing="1" w:after="100" w:afterAutospacing="1"/>
    </w:pPr>
  </w:style>
  <w:style w:type="paragraph" w:customStyle="1" w:styleId="outline-content1">
    <w:name w:val="outline-content1"/>
    <w:basedOn w:val="a"/>
    <w:uiPriority w:val="99"/>
    <w:pPr>
      <w:spacing w:before="192" w:after="192"/>
    </w:pPr>
  </w:style>
  <w:style w:type="paragraph" w:customStyle="1" w:styleId="outline-item1">
    <w:name w:val="outline-item1"/>
    <w:basedOn w:val="a"/>
    <w:uiPriority w:val="99"/>
    <w:pPr>
      <w:spacing w:before="192" w:after="192"/>
    </w:pPr>
  </w:style>
  <w:style w:type="paragraph" w:customStyle="1" w:styleId="outline-item2">
    <w:name w:val="outline-item2"/>
    <w:basedOn w:val="a"/>
    <w:uiPriority w:val="99"/>
    <w:pPr>
      <w:spacing w:before="192" w:after="192"/>
      <w:ind w:left="-420" w:right="-120"/>
    </w:pPr>
  </w:style>
  <w:style w:type="paragraph" w:customStyle="1" w:styleId="outline-children1">
    <w:name w:val="outline-children1"/>
    <w:basedOn w:val="a"/>
    <w:uiPriority w:val="99"/>
    <w:pPr>
      <w:spacing w:before="192" w:after="192"/>
    </w:pPr>
    <w:rPr>
      <w:vanish/>
    </w:rPr>
  </w:style>
  <w:style w:type="paragraph" w:customStyle="1" w:styleId="btn1">
    <w:name w:val="btn1"/>
    <w:basedOn w:val="a"/>
    <w:uiPriority w:val="99"/>
    <w:pPr>
      <w:spacing w:before="192" w:after="192"/>
    </w:pPr>
  </w:style>
  <w:style w:type="paragraph" w:customStyle="1" w:styleId="divider1">
    <w:name w:val="divider1"/>
    <w:basedOn w:val="a"/>
    <w:uiPriority w:val="99"/>
    <w:pPr>
      <w:spacing w:before="192" w:after="192"/>
    </w:pPr>
  </w:style>
  <w:style w:type="paragraph" w:customStyle="1" w:styleId="window-content1">
    <w:name w:val="window-content1"/>
    <w:basedOn w:val="a"/>
    <w:uiPriority w:val="99"/>
    <w:pPr>
      <w:shd w:val="clear" w:color="auto" w:fill="FAFAFA"/>
      <w:spacing w:before="192" w:after="192"/>
    </w:pPr>
  </w:style>
  <w:style w:type="character" w:styleId="aa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470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521</Characters>
  <Application>Microsoft Office Word</Application>
  <DocSecurity>0</DocSecurity>
  <Lines>34</Lines>
  <Paragraphs>39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Weekly_Report_Week9-10</dc:title>
  <dc:subject/>
  <dc:creator>22778</dc:creator>
  <cp:keywords/>
  <dc:description/>
  <cp:lastModifiedBy>22778</cp:lastModifiedBy>
  <cp:revision>2</cp:revision>
  <dcterms:created xsi:type="dcterms:W3CDTF">2026-05-10T05:13:00Z</dcterms:created>
  <dcterms:modified xsi:type="dcterms:W3CDTF">2026-05-10T05:13:00Z</dcterms:modified>
</cp:coreProperties>
</file>