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840"/>
        <w:jc w:val="center"/>
      </w:pPr>
      <w:r>
        <w:drawing>
          <wp:inline xmlns:a="http://schemas.openxmlformats.org/drawingml/2006/main" xmlns:pic="http://schemas.openxmlformats.org/drawingml/2006/picture">
            <wp:extent cx="2240280" cy="881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Stud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88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/>
          <w:color w:val="C9B76A"/>
          <w:sz w:val="22"/>
        </w:rPr>
        <w:t>MANUALE DI AMMINISTRAZIONE</w:t>
      </w:r>
    </w:p>
    <w:p>
      <w:pPr>
        <w:spacing w:after="160"/>
        <w:jc w:val="center"/>
      </w:pPr>
      <w:r>
        <w:rPr>
          <w:rFonts w:ascii="Aptos Display" w:hAnsi="Aptos Display"/>
          <w:b/>
          <w:color w:val="274766"/>
          <w:sz w:val="56"/>
        </w:rPr>
        <w:t>Giovanardi Studio Legale Data Room</w:t>
      </w:r>
    </w:p>
    <w:p>
      <w:pPr>
        <w:spacing w:after="1160"/>
        <w:jc w:val="center"/>
      </w:pPr>
      <w:r>
        <w:rPr>
          <w:rFonts w:ascii="Aptos" w:hAnsi="Aptos"/>
          <w:color w:val="555555"/>
          <w:sz w:val="26"/>
        </w:rPr>
        <w:t>Funzionamento, configurazione Microsoft 365, sicurezza e gestione operativa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 w:val="true"/>
          <w:cantSplit/>
        </w:trPr>
        <w:tc>
          <w:tcPr>
            <w:tcW w:type="dxa" w:w="2232"/>
            <w:shd w:fill="2747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74766"/>
                <w:sz w:val="18"/>
              </w:rPr>
              <w:t>Documento</w:t>
            </w:r>
          </w:p>
        </w:tc>
        <w:tc>
          <w:tcPr>
            <w:tcW w:type="dxa" w:w="7128"/>
            <w:shd w:fill="2747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74766"/>
                <w:sz w:val="18"/>
              </w:rPr>
              <w:t>Valore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Versione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Data di riferimento</w:t>
            </w:r>
          </w:p>
        </w:tc>
        <w:tc>
          <w:tcPr>
            <w:tcW w:type="dxa" w:w="712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20 luglio 2026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Destinatari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Amministratori Microsoft 365, SharePoint, IT e responsabili audit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Classificazione</w:t>
            </w:r>
          </w:p>
        </w:tc>
        <w:tc>
          <w:tcPr>
            <w:tcW w:type="dxa" w:w="712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Uso interno</w:t>
            </w:r>
          </w:p>
        </w:tc>
      </w:tr>
    </w:tbl>
    <w:p>
      <w:pPr>
        <w:spacing w:after="20"/>
      </w:pPr>
    </w:p>
    <w:p>
      <w:pPr>
        <w:pStyle w:val="Callout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Ambito del documento  </w:t>
      </w:r>
      <w:r>
        <w:rPr>
          <w:rFonts w:ascii="Aptos" w:hAnsi="Aptos"/>
          <w:color w:val="212121"/>
        </w:rPr>
        <w:t>Il manuale descrive la configurazione effettivamente richiesta dalla versione corrente dell’applicazione. Non sostituisce le policy di sicurezza, conservazione, incident management o data protection dello Studio.</w:t>
      </w:r>
    </w:p>
    <w:p>
      <w:r>
        <w:br w:type="page"/>
      </w:r>
    </w:p>
    <w:p>
      <w:pPr>
        <w:pStyle w:val="Heading1"/>
      </w:pPr>
      <w:r>
        <w:t>1. Scopo e principi di funzionamento</w:t>
      </w:r>
    </w:p>
    <w:p>
      <w:r>
        <w:t>L’applicazione è un client Windows per la gestione controllata di cartelle-pratica in una raccolta documenti SharePoint Online. Opera per conto dell’utente autenticato tramite Microsoft Entra ID e Microsoft Graph; non utilizza credenziali applicative, client secret o processi server autonomi.</w:t>
      </w:r>
    </w:p>
    <w:p>
      <w:pPr>
        <w:pStyle w:val="Callout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Principio di autorizzazione  </w:t>
      </w:r>
      <w:r>
        <w:rPr>
          <w:rFonts w:ascii="Aptos" w:hAnsi="Aptos"/>
          <w:color w:val="212121"/>
        </w:rPr>
        <w:t>I permessi Graph delegati non sostituiscono i permessi SharePoint dell’utente. L’operatore deve essere autorizzato sia ad accedere all’applicazione sia al sito e alla raccolta documenti interessati.</w:t>
      </w:r>
    </w:p>
    <w:p>
      <w:pPr>
        <w:pStyle w:val="Heading2"/>
      </w:pPr>
      <w:r>
        <w:t>1.1 Flusso di avvio</w:t>
      </w:r>
    </w:p>
    <w:p>
      <w:pPr>
        <w:pStyle w:val="ListNumber"/>
      </w:pPr>
      <w:r>
        <w:t>L’app tenta l’accesso silenzioso usando la cache MSAL protetta nel profilo locale dell’utente; se la sessione non è valida richiede l’accesso interattivo.</w:t>
      </w:r>
    </w:p>
    <w:p>
      <w:pPr>
        <w:pStyle w:val="ListNumber"/>
      </w:pPr>
      <w:r>
        <w:t>Recupera identità, sito SharePoint e raccolta documenti predefinita.</w:t>
      </w:r>
    </w:p>
    <w:p>
      <w:pPr>
        <w:pStyle w:val="ListNumber"/>
      </w:pPr>
      <w:r>
        <w:t>Verifica o crea le liste di conformità e le colonne previste.</w:t>
      </w:r>
    </w:p>
    <w:p>
      <w:pPr>
        <w:pStyle w:val="ListNumber"/>
      </w:pPr>
      <w:r>
        <w:t>Controlla la presa visione del disclaimer; se manca, richiede conferma e la registra online.</w:t>
      </w:r>
    </w:p>
    <w:p>
      <w:pPr>
        <w:pStyle w:val="ListNumber"/>
      </w:pPr>
      <w:r>
        <w:t>Verifica l’appartenenza al gruppo audit e abilita le funzioni riservate solo agli autorizzati.</w:t>
      </w:r>
    </w:p>
    <w:p>
      <w:pPr>
        <w:pStyle w:val="ListNumber"/>
      </w:pPr>
      <w:r>
        <w:t>Carica le pratiche e controlla le scadenze; se rileva pratiche scadute con accessi esterni ancora presenti, propone la chiusura selettiva o complessiva.</w:t>
      </w:r>
    </w:p>
    <w:p>
      <w:pPr>
        <w:pStyle w:val="Heading2"/>
      </w:pPr>
      <w:r>
        <w:t>1.2 Funzioni operative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33"/>
        <w:gridCol w:w="7027"/>
      </w:tblGrid>
      <w:tr>
        <w:trPr>
          <w:tblHeader w:val="true"/>
          <w:cantSplit/>
        </w:trPr>
        <w:tc>
          <w:tcPr>
            <w:tcW w:type="dxa" w:w="2333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Funzione</w:t>
            </w:r>
          </w:p>
        </w:tc>
        <w:tc>
          <w:tcPr>
            <w:tcW w:type="dxa" w:w="7027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Nuova pratica</w:t>
            </w:r>
          </w:p>
        </w:tc>
        <w:tc>
          <w:tcPr>
            <w:tcW w:type="dxa" w:w="70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Crea una cartella nella root della raccolta; evita duplicati applicando una numerazione progressiva; registra richiedente, note e scadenza.</w:t>
            </w:r>
          </w:p>
        </w:tc>
      </w:tr>
      <w:tr>
        <w:trPr>
          <w:cantSplit/>
        </w:trPr>
        <w:tc>
          <w:tcPr>
            <w:tcW w:type="dxa" w:w="2333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Apri pratica</w:t>
            </w:r>
          </w:p>
        </w:tc>
        <w:tc>
          <w:tcPr>
            <w:tcW w:type="dxa" w:w="7027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Elenca e filtra le cartelle esistenti, mostrando data di creazione e stato della scadenza.</w:t>
            </w:r>
          </w:p>
        </w:tc>
      </w:tr>
      <w:tr>
        <w:trPr>
          <w:cantSplit/>
        </w:trPr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Aggiungi utente</w:t>
            </w:r>
          </w:p>
        </w:tc>
        <w:tc>
          <w:tcPr>
            <w:tcW w:type="dxa" w:w="70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Invita uno o più destinatari, con ruolo Lettura o Scrittura e messaggio comune; l’invito richiede autenticazione.</w:t>
            </w:r>
          </w:p>
        </w:tc>
      </w:tr>
      <w:tr>
        <w:trPr>
          <w:cantSplit/>
        </w:trPr>
        <w:tc>
          <w:tcPr>
            <w:tcW w:type="dxa" w:w="2333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Modifica ruolo</w:t>
            </w:r>
          </w:p>
        </w:tc>
        <w:tc>
          <w:tcPr>
            <w:tcW w:type="dxa" w:w="7027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Aggiorna il permesso diretto del destinatario selezionato.</w:t>
            </w:r>
          </w:p>
        </w:tc>
      </w:tr>
      <w:tr>
        <w:trPr>
          <w:cantSplit/>
        </w:trPr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Rimuovi</w:t>
            </w:r>
          </w:p>
        </w:tc>
        <w:tc>
          <w:tcPr>
            <w:tcW w:type="dxa" w:w="70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Revoca manualmente il singolo accesso selezionato, interno o esterno, dopo conferma.</w:t>
            </w:r>
          </w:p>
        </w:tc>
      </w:tr>
      <w:tr>
        <w:trPr>
          <w:cantSplit/>
        </w:trPr>
        <w:tc>
          <w:tcPr>
            <w:tcW w:type="dxa" w:w="2333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Modifica pratica</w:t>
            </w:r>
          </w:p>
        </w:tc>
        <w:tc>
          <w:tcPr>
            <w:tcW w:type="dxa" w:w="7027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Aggiorna nome, richiedente, note e scadenza; la scadenza può essere aggiunta, modificata o rimossa.</w:t>
            </w:r>
          </w:p>
        </w:tc>
      </w:tr>
      <w:tr>
        <w:trPr>
          <w:cantSplit/>
        </w:trPr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Revoca accessi</w:t>
            </w:r>
          </w:p>
        </w:tc>
        <w:tc>
          <w:tcPr>
            <w:tcW w:type="dxa" w:w="70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Revoca soltanto gli accessi esterni diretti non-owner. Utenti interni, gruppi, owner, cartella e documenti restano invariati.</w:t>
            </w:r>
          </w:p>
        </w:tc>
      </w:tr>
      <w:tr>
        <w:trPr>
          <w:cantSplit/>
        </w:trPr>
        <w:tc>
          <w:tcPr>
            <w:tcW w:type="dxa" w:w="2333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Invia link</w:t>
            </w:r>
          </w:p>
        </w:tc>
        <w:tc>
          <w:tcPr>
            <w:tcW w:type="dxa" w:w="7027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Invia via Microsoft 365 il collegamento ai soli destinatari già autorizzati e selezionati.</w:t>
            </w:r>
          </w:p>
        </w:tc>
      </w:tr>
      <w:tr>
        <w:trPr>
          <w:cantSplit/>
        </w:trPr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Registro audit</w:t>
            </w:r>
          </w:p>
        </w:tc>
        <w:tc>
          <w:tcPr>
            <w:tcW w:type="dxa" w:w="70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Disponibile esclusivamente ai membri del gruppo audit configurato; consente ricerca, filtri ed esportazione CSV.</w:t>
            </w:r>
          </w:p>
        </w:tc>
      </w:tr>
      <w:tr>
        <w:trPr>
          <w:cantSplit/>
        </w:trPr>
        <w:tc>
          <w:tcPr>
            <w:tcW w:type="dxa" w:w="2333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Log locale</w:t>
            </w:r>
          </w:p>
        </w:tc>
        <w:tc>
          <w:tcPr>
            <w:tcW w:type="dxa" w:w="7027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Visibile agli utenti audit; conserva diagnostica locale secondo la configurazione Serilog.</w:t>
            </w:r>
          </w:p>
        </w:tc>
      </w:tr>
    </w:tbl>
    <w:p>
      <w:pPr>
        <w:spacing w:after="20"/>
      </w:pPr>
    </w:p>
    <w:p>
      <w:pPr>
        <w:pStyle w:val="Heading2"/>
      </w:pPr>
      <w:r>
        <w:t>1.3 Scadenze e chiusura</w:t>
      </w:r>
    </w:p>
    <w:p>
      <w:r>
        <w:t>La data di scadenza è un metadato della cartella. Alla successiva esecuzione dell’app, una pratica scaduta viene segnalata se conserva accessi esterni revocabili. I comandi “Chiudi selezionata” e “Chiudi tutte” rimuovono esclusivamente tali accessi esterni. Una pratica è visualizzata come chiusa quando non conserva più accessi esterni, anche se utenti interni restano autorizzati.</w:t>
      </w:r>
    </w:p>
    <w:p>
      <w:pPr>
        <w:pStyle w:val="Callout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Limitazione operativa  </w:t>
      </w:r>
      <w:r>
        <w:rPr>
          <w:rFonts w:ascii="Aptos" w:hAnsi="Aptos"/>
          <w:color w:val="212121"/>
        </w:rPr>
        <w:t>La versione corrente non esegue un processo cloud pianificato: se nessuno avvia l’app dopo la scadenza, la revoca non avviene automaticamente. Per scadenze garantite a un orario preciso serve un servizio Microsoft 365 indipendente dall’app desktop.</w:t>
      </w:r>
    </w:p>
    <w:p>
      <w:pPr>
        <w:pStyle w:val="Heading2"/>
      </w:pPr>
      <w:r>
        <w:t>1.4 Funzioni volutamente non presenti</w:t>
      </w:r>
    </w:p>
    <w:p>
      <w:pPr>
        <w:pStyle w:val="ListBullet"/>
      </w:pPr>
      <w:r>
        <w:t>Cancellazione di cartelle o pratiche: deve essere eseguita direttamente in SharePoint da un amministratore autorizzato.</w:t>
      </w:r>
    </w:p>
    <w:p>
      <w:pPr>
        <w:pStyle w:val="ListBullet"/>
      </w:pPr>
      <w:r>
        <w:t>Permesso “No download”: non implementato nella versione corrente.</w:t>
      </w:r>
    </w:p>
    <w:p>
      <w:pPr>
        <w:pStyle w:val="ListBullet"/>
      </w:pPr>
      <w:r>
        <w:t>Revoca automatica degli utenti interni alla scadenza: esclusa; gli interni si rimuovono soltanto manualmente.</w:t>
      </w:r>
    </w:p>
    <w:p>
      <w:r>
        <w:br w:type="page"/>
      </w:r>
    </w:p>
    <w:p>
      <w:pPr>
        <w:pStyle w:val="Heading1"/>
      </w:pPr>
      <w:r>
        <w:t>2. Architettura e dati</w:t>
      </w:r>
    </w:p>
    <w:p>
      <w:pPr>
        <w:pStyle w:val="Heading2"/>
      </w:pPr>
      <w:r>
        <w:t>2.1 Componenti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rPr>
          <w:tblHeader w:val="true"/>
          <w:cantSplit/>
        </w:trPr>
        <w:tc>
          <w:tcPr>
            <w:tcW w:type="dxa" w:w="252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84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Ruolo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Client Windows .NET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Interfaccia operativa ReaLTaiizor, validazioni, cache token, audit applicativo e orchestrazione Graph.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Microsoft Entra ID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Autenticazione single-tenant, consenso ai permessi delegati, gruppi di sicurezza e assegnazione utenti all’app.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Microsoft Graph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Accesso a identità, gruppi, SharePoint, file, permessi e invio email.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SharePoint Online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Sito Data Room, raccolta documenti, cartelle-pratica, metadati, permessi e liste di audit.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Exchange Online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Invio del collegamento alla pratica dall’account dell’utente autenticato mediante Mail.Send delegato.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File system locale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Cache MSAL protetta e log diagnostici giornalieri nella cartella dell’app/profilo configurato.</w:t>
            </w:r>
          </w:p>
        </w:tc>
      </w:tr>
    </w:tbl>
    <w:p>
      <w:pPr>
        <w:spacing w:after="20"/>
      </w:pPr>
    </w:p>
    <w:p>
      <w:pPr>
        <w:pStyle w:val="Heading2"/>
      </w:pPr>
      <w:r>
        <w:t>2.2 Dati SharePoint richiesti</w:t>
      </w:r>
    </w:p>
    <w:p>
      <w:r>
        <w:t>La raccolta documenti predefinita del sito deve contenere queste colonne con nome visualizzato esatto: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2232"/>
        <w:gridCol w:w="5040"/>
      </w:tblGrid>
      <w:tr>
        <w:trPr>
          <w:tblHeader w:val="true"/>
          <w:cantSplit/>
        </w:trPr>
        <w:tc>
          <w:tcPr>
            <w:tcW w:type="dxa" w:w="208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Nome visualizzato</w:t>
            </w:r>
          </w:p>
        </w:tc>
        <w:tc>
          <w:tcPr>
            <w:tcW w:type="dxa" w:w="2232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Tipo consigliato</w:t>
            </w:r>
          </w:p>
        </w:tc>
        <w:tc>
          <w:tcPr>
            <w:tcW w:type="dxa" w:w="504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Richiesto da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Testo a riga singola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Nominativo o riferimento di chi ha richiesto la condivisione.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Note</w:t>
            </w:r>
          </w:p>
        </w:tc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Testo a più righe</w:t>
            </w:r>
          </w:p>
        </w:tc>
        <w:tc>
          <w:tcPr>
            <w:tcW w:type="dxa" w:w="50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Informazioni operative sulla pratica.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scadenza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Data e ora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Termine applicativo della condivisione esterna.</w:t>
            </w:r>
          </w:p>
        </w:tc>
      </w:tr>
    </w:tbl>
    <w:p>
      <w:pPr>
        <w:spacing w:after="20"/>
      </w:pPr>
    </w:p>
    <w:p>
      <w:pPr>
        <w:pStyle w:val="Heading2"/>
      </w:pPr>
      <w:r>
        <w:t>2.3 Liste di conformità create dall’app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rPr>
          <w:tblHeader w:val="true"/>
          <w:cantSplit/>
        </w:trPr>
        <w:tc>
          <w:tcPr>
            <w:tcW w:type="dxa" w:w="2952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Lista nascosta</w:t>
            </w:r>
          </w:p>
        </w:tc>
        <w:tc>
          <w:tcPr>
            <w:tcW w:type="dxa" w:w="640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Contenuto principale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PresaVisioneDataRoom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Utente, email, versione disclaimer, data/ora, versione applicazione, esito e hash del testo.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DataRoomActivityLog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Data/ora, utente, operazione, pratica, destinatario, esito, versione app e dettagli.</w:t>
            </w:r>
          </w:p>
        </w:tc>
      </w:tr>
    </w:tbl>
    <w:p>
      <w:pPr>
        <w:spacing w:after="20"/>
      </w:pPr>
    </w:p>
    <w:p>
      <w:pPr>
        <w:pStyle w:val="Callout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Attenzione: “nascosta” non significa protetta  </w:t>
      </w:r>
      <w:r>
        <w:rPr>
          <w:rFonts w:ascii="Aptos" w:hAnsi="Aptos"/>
          <w:color w:val="212121"/>
        </w:rPr>
        <w:t>La proprietà hidden evita la normale visualizzazione nella navigazione, ma non sostituisce le autorizzazioni SharePoint. Applicare e collaudare permessi univoci alle liste, una retention approvata e controlli periodici sugli accessi. L’interfaccia limita il registro audit tramite gruppo Entra, ma questo controllo non è da solo una ACL del dato sottostante.</w:t>
      </w:r>
    </w:p>
    <w:p>
      <w:pPr>
        <w:pStyle w:val="Heading1"/>
      </w:pPr>
      <w:r>
        <w:t>3. Ruoli e gruppi Microsoft 365</w:t>
      </w:r>
    </w:p>
    <w:p>
      <w:r>
        <w:t>Adottare gruppi cloud di sicurezza con proprietari nominati, membership revisionata e descrizione dello scopo.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08"/>
        <w:gridCol w:w="1584"/>
        <w:gridCol w:w="4968"/>
      </w:tblGrid>
      <w:tr>
        <w:trPr>
          <w:tblHeader w:val="true"/>
          <w:cantSplit/>
        </w:trPr>
        <w:tc>
          <w:tcPr>
            <w:tcW w:type="dxa" w:w="280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Gruppo</w:t>
            </w:r>
          </w:p>
        </w:tc>
        <w:tc>
          <w:tcPr>
            <w:tcW w:type="dxa" w:w="1584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Obbligo</w:t>
            </w:r>
          </w:p>
        </w:tc>
        <w:tc>
          <w:tcPr>
            <w:tcW w:type="dxa" w:w="496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Membri e assegnazioni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GSL-DataRoom-Users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Raccomandato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Segreteria e operatori. Assegnare all’Enterprise Application se “Assegnazione utenti obbligatoria” è attiva; concedere anche i diritti SharePoint necessari.</w:t>
            </w:r>
          </w:p>
        </w:tc>
      </w:tr>
      <w:tr>
        <w:trPr>
          <w:cantSplit/>
        </w:trPr>
        <w:tc>
          <w:tcPr>
            <w:tcW w:type="dxa" w:w="28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GSL-DataRoom-Audit-Readers</w:t>
            </w:r>
          </w:p>
        </w:tc>
        <w:tc>
          <w:tcPr>
            <w:tcW w:type="dxa" w:w="158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Necessario per audit UI</w:t>
            </w:r>
          </w:p>
        </w:tc>
        <w:tc>
          <w:tcPr>
            <w:tcW w:type="dxa" w:w="49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Responsabili autorizzati a consultare audit e prese visione. Inserire il relativo Object ID in Security:AuditReadersGroupId. Devono anche poter usare l’app e leggere le liste di audit.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GSL-DataRoom-Administrators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Raccomandato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IT/SharePoint owner per bootstrap, colonne, liste, permessi, configurazione, supporto e verifiche periodiche.</w:t>
            </w:r>
          </w:p>
        </w:tc>
      </w:tr>
    </w:tbl>
    <w:p>
      <w:pPr>
        <w:spacing w:after="20"/>
      </w:pPr>
    </w:p>
    <w:p>
      <w:pPr>
        <w:pStyle w:val="Callout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Configurazione attuale  </w:t>
      </w:r>
      <w:r>
        <w:rPr>
          <w:rFonts w:ascii="Aptos" w:hAnsi="Aptos"/>
          <w:color w:val="212121"/>
        </w:rPr>
        <w:t>L’Object ID del gruppo audit configurato è 70defbb8-181e-4bc0-8385-99a782a8195e. Il nome visualizzato può cambiare senza modificare l’app; l’Object ID è il riferimento determinante.</w:t>
      </w:r>
    </w:p>
    <w:p>
      <w:pPr>
        <w:pStyle w:val="Heading2"/>
      </w:pPr>
      <w:r>
        <w:t>3.1 Creazione dei gruppi</w:t>
      </w:r>
    </w:p>
    <w:p>
      <w:pPr>
        <w:pStyle w:val="ListNumber"/>
      </w:pPr>
      <w:r>
        <w:t>Aprire Microsoft Entra admin center e accedere a Identity &gt; Groups &gt; All groups &gt; New group.</w:t>
      </w:r>
    </w:p>
    <w:p>
      <w:pPr>
        <w:pStyle w:val="ListNumber"/>
      </w:pPr>
      <w:r>
        <w:t>Scegliere Security come tipo, impostare nome, descrizione e almeno due owner ove possibile.</w:t>
      </w:r>
    </w:p>
    <w:p>
      <w:pPr>
        <w:pStyle w:val="ListNumber"/>
      </w:pPr>
      <w:r>
        <w:t>Aggiungere soltanto utenti interni nominativi; evitare account condivisi e membership non motivata.</w:t>
      </w:r>
    </w:p>
    <w:p>
      <w:pPr>
        <w:pStyle w:val="ListNumber"/>
      </w:pPr>
      <w:r>
        <w:t>Registrare owner, criterio di approvazione e frequenza di revisione nel sistema di gestione dello Studio.</w:t>
      </w:r>
    </w:p>
    <w:p>
      <w:pPr>
        <w:pStyle w:val="Heading2"/>
      </w:pPr>
      <w:r>
        <w:t>3.2 Limitare l’uso dell’app agli operatori</w:t>
      </w:r>
    </w:p>
    <w:p>
      <w:pPr>
        <w:pStyle w:val="ListNumber"/>
      </w:pPr>
      <w:r>
        <w:t>In Entra admin center aprire Identity &gt; Applications &gt; Enterprise applications e selezionare la Data Room.</w:t>
      </w:r>
    </w:p>
    <w:p>
      <w:pPr>
        <w:pStyle w:val="ListNumber"/>
      </w:pPr>
      <w:r>
        <w:t>In Properties impostare Assignment required? su Yes, se coerente con le licenze e le policy del tenant.</w:t>
      </w:r>
    </w:p>
    <w:p>
      <w:pPr>
        <w:pStyle w:val="ListNumber"/>
      </w:pPr>
      <w:r>
        <w:t>In Users and groups assegnare GSL-DataRoom-Users e GSL-DataRoom-Audit-Readers; in alternativa includere gli auditor anche nel gruppo utenti.</w:t>
      </w:r>
    </w:p>
    <w:p>
      <w:pPr>
        <w:pStyle w:val="ListNumber"/>
      </w:pPr>
      <w:r>
        <w:t>Verificare che l’assegnazione tramite gruppi sia supportata dalla licenza Entra e ricordare che i gruppi annidati non sono considerati nell’assegnazione dell’app.</w:t>
      </w:r>
    </w:p>
    <w:p>
      <w:pPr>
        <w:pStyle w:val="Heading2"/>
      </w:pPr>
      <w:r>
        <w:t>3.3 Permessi SharePoint degli operatori</w:t>
      </w:r>
    </w:p>
    <w:p>
      <w:r>
        <w:t>L’app usa permessi delegati: ogni operatore deve poter leggere e modificare la raccolta, creare cartelle, gestire gli elementi e condividere cartelle secondo le policy. È preferibile assegnare un gruppo dedicato a un livello SharePoint controllato, evitando Full Control agli utilizzatori ordinari. Il bootstrap iniziale deve essere eseguito da un owner o amministratore con facoltà di creare liste e colonne.</w:t>
      </w:r>
    </w:p>
    <w:p>
      <w:pPr>
        <w:pStyle w:val="Callout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Condivisione esterna  </w:t>
      </w:r>
      <w:r>
        <w:rPr>
          <w:rFonts w:ascii="Aptos" w:hAnsi="Aptos"/>
          <w:color w:val="212121"/>
        </w:rPr>
        <w:t>Per dati professionali riservati usare destinatari autenticati. Evitare link “Chiunque/Anyone”; limitare a livello tenant la facoltà di condivisione esterna al solo gruppo degli operatori autorizzati.</w:t>
      </w:r>
    </w:p>
    <w:p>
      <w:r>
        <w:br w:type="page"/>
      </w:r>
    </w:p>
    <w:p>
      <w:pPr>
        <w:pStyle w:val="Heading1"/>
      </w:pPr>
      <w:r>
        <w:t>4. Registrazione dell’app in Microsoft Entra ID</w:t>
      </w:r>
    </w:p>
    <w:p>
      <w:pPr>
        <w:pStyle w:val="Heading2"/>
      </w:pPr>
      <w:r>
        <w:t>4.1 Creazione</w:t>
      </w:r>
    </w:p>
    <w:p>
      <w:pPr>
        <w:pStyle w:val="ListNumber"/>
      </w:pPr>
      <w:r>
        <w:t>Accedere a Microsoft Entra admin center con un ruolo idoneo (almeno Application Administrator o Cloud Application Administrator per la configurazione; usare un ruolo autorizzato al consenso per il passaggio dedicato).</w:t>
      </w:r>
    </w:p>
    <w:p>
      <w:pPr>
        <w:pStyle w:val="ListNumber"/>
      </w:pPr>
      <w:r>
        <w:t>Aprire Identity &gt; Applications &gt; App registrations &gt; New registration.</w:t>
      </w:r>
    </w:p>
    <w:p>
      <w:pPr>
        <w:pStyle w:val="ListNumber"/>
      </w:pPr>
      <w:r>
        <w:t>Impostare un nome riconoscibile, ad esempio “Giovanardi Studio Legale Data Room”.</w:t>
      </w:r>
    </w:p>
    <w:p>
      <w:pPr>
        <w:pStyle w:val="ListNumber"/>
      </w:pPr>
      <w:r>
        <w:t>Selezionare Accounts in this organizational directory only (single tenant).</w:t>
      </w:r>
    </w:p>
    <w:p>
      <w:pPr>
        <w:pStyle w:val="ListNumber"/>
      </w:pPr>
      <w:r>
        <w:t>Registrare l’app e annotare Application (client) ID e Directory (tenant) ID.</w:t>
      </w:r>
    </w:p>
    <w:p>
      <w:pPr>
        <w:pStyle w:val="Heading2"/>
      </w:pPr>
      <w:r>
        <w:t>4.2 Piattaforma e redirect URI</w:t>
      </w:r>
    </w:p>
    <w:p>
      <w:pPr>
        <w:pStyle w:val="ListNumber"/>
      </w:pPr>
      <w:r>
        <w:t>Aprire Authentication &gt; Add a platform &gt; Mobile and desktop applications.</w:t>
      </w:r>
    </w:p>
    <w:p>
      <w:pPr>
        <w:pStyle w:val="ListNumber"/>
      </w:pPr>
      <w:r>
        <w:t>Configurare il redirect URI desktop effettivamente usato dalla build MSAL e mantenerlo identico tra portale e applicazione.</w:t>
      </w:r>
    </w:p>
    <w:p>
      <w:pPr>
        <w:pStyle w:val="ListNumber"/>
      </w:pPr>
      <w:r>
        <w:t>Non creare client secret: questa è un’app desktop public client con autenticazione interattiva delegata.</w:t>
      </w:r>
    </w:p>
    <w:p>
      <w:pPr>
        <w:pStyle w:val="ListNumber"/>
      </w:pPr>
      <w:r>
        <w:t>Non abilitare implicit grant. Abilitare flussi public client aggiuntivi soltanto se richiesti da un metodo di autenticazione realmente adottato e approvato.</w:t>
      </w:r>
    </w:p>
    <w:p>
      <w:pPr>
        <w:pStyle w:val="Callout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Nota tecnica sulla build corrente  </w:t>
      </w:r>
      <w:r>
        <w:rPr>
          <w:rFonts w:ascii="Aptos" w:hAnsi="Aptos"/>
          <w:color w:val="212121"/>
        </w:rPr>
        <w:t>appsettings.json contiene RedirectUri, ma AuthenticationService usa WithDefaultRedirectUri() e non legge quel valore. Prima della distribuzione definitiva occorre allineare codice, configurazione e portale oppure documentare formalmente il redirect predefinito effettivo. Non affidarsi al solo valore presente nel file JSON.</w:t>
      </w:r>
    </w:p>
    <w:p>
      <w:pPr>
        <w:pStyle w:val="Heading2"/>
      </w:pPr>
      <w:r>
        <w:t>4.3 Permessi Microsoft Graph richiesti</w:t>
      </w:r>
    </w:p>
    <w:p>
      <w:r>
        <w:t>Aggiungere esclusivamente Delegated permissions. La build corrente richiede questi scope: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160"/>
      </w:tblGrid>
      <w:tr>
        <w:trPr>
          <w:tblHeader w:val="true"/>
          <w:cantSplit/>
        </w:trPr>
        <w:tc>
          <w:tcPr>
            <w:tcW w:type="dxa" w:w="2232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Permesso</w:t>
            </w:r>
          </w:p>
        </w:tc>
        <w:tc>
          <w:tcPr>
            <w:tcW w:type="dxa" w:w="496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Uso nell’app</w:t>
            </w:r>
          </w:p>
        </w:tc>
        <w:tc>
          <w:tcPr>
            <w:tcW w:type="dxa" w:w="216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Consenso admin secondo Microsoft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User.Read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Accesso e lettura del profilo dell’utente connesso.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Files.ReadWrite.All</w:t>
            </w:r>
          </w:p>
        </w:tc>
        <w:tc>
          <w:tcPr>
            <w:tcW w:type="dxa" w:w="49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Cartelle, file e inviti sui drive accessibili all’utente.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No, delegato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Sites.ReadWrite.All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Lettura e modifica di documenti, elementi e metadati SharePoint.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No, delegato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Sites.Manage.All</w:t>
            </w:r>
          </w:p>
        </w:tc>
        <w:tc>
          <w:tcPr>
            <w:tcW w:type="dxa" w:w="49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Creazione/gestione delle liste nascoste e delle relative colonne.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No, delegato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GroupMember.Read.All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Verifica appartenenza al gruppo autorizzato all’audit.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Mail.Send</w:t>
            </w:r>
          </w:p>
        </w:tc>
        <w:tc>
          <w:tcPr>
            <w:tcW w:type="dxa" w:w="49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Invio del link alla pratica come utente autenticato; copia in Posta inviata.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No, delegato</w:t>
            </w:r>
          </w:p>
        </w:tc>
      </w:tr>
    </w:tbl>
    <w:p>
      <w:pPr>
        <w:spacing w:after="20"/>
      </w:pPr>
    </w:p>
    <w:p>
      <w:pPr>
        <w:pStyle w:val="Callout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Consenso centralizzato raccomandato  </w:t>
      </w:r>
      <w:r>
        <w:rPr>
          <w:rFonts w:ascii="Aptos" w:hAnsi="Aptos"/>
          <w:color w:val="212121"/>
        </w:rPr>
        <w:t>Anche quando Microsoft non impone il consenso amministrativo per uno scope delegato, concedere il consenso tenant all’intero set approvato evita richieste individuali e rende la configurazione controllabile. GroupMember.Read.All richiede comunque consenso amministrativo.</w:t>
      </w:r>
    </w:p>
    <w:p>
      <w:pPr>
        <w:pStyle w:val="Heading2"/>
      </w:pPr>
      <w:r>
        <w:t>4.4 Procedura di assegnazione dei permessi</w:t>
      </w:r>
    </w:p>
    <w:p>
      <w:pPr>
        <w:pStyle w:val="ListNumber"/>
      </w:pPr>
      <w:r>
        <w:t>Nella registrazione dell’app aprire API permissions &gt; Add a permission.</w:t>
      </w:r>
    </w:p>
    <w:p>
      <w:pPr>
        <w:pStyle w:val="ListNumber"/>
      </w:pPr>
      <w:r>
        <w:t>Selezionare Microsoft Graph &gt; Delegated permissions.</w:t>
      </w:r>
    </w:p>
    <w:p>
      <w:pPr>
        <w:pStyle w:val="ListNumber"/>
      </w:pPr>
      <w:r>
        <w:t>Cercare e selezionare uno alla volta i sei permessi elencati sopra; scegliere Add permissions.</w:t>
      </w:r>
    </w:p>
    <w:p>
      <w:pPr>
        <w:pStyle w:val="ListNumber"/>
      </w:pPr>
      <w:r>
        <w:t>Verificare che non siano state aggiunte Application permissions omonime.</w:t>
      </w:r>
    </w:p>
    <w:p>
      <w:pPr>
        <w:pStyle w:val="ListNumber"/>
      </w:pPr>
      <w:r>
        <w:t>Registrare la modifica nel change management e farla approvare dal responsabile previsto.</w:t>
      </w:r>
    </w:p>
    <w:p>
      <w:pPr>
        <w:pStyle w:val="Heading2"/>
      </w:pPr>
      <w:r>
        <w:t>4.5 Concedere il consenso amministrativo</w:t>
      </w:r>
    </w:p>
    <w:p>
      <w:pPr>
        <w:pStyle w:val="ListNumber"/>
      </w:pPr>
      <w:r>
        <w:t>Aprire API permissions nella registrazione dell’app.</w:t>
      </w:r>
    </w:p>
    <w:p>
      <w:pPr>
        <w:pStyle w:val="ListNumber"/>
      </w:pPr>
      <w:r>
        <w:t>Selezionare Grant admin consent for &lt;tenant&gt;.</w:t>
      </w:r>
    </w:p>
    <w:p>
      <w:pPr>
        <w:pStyle w:val="ListNumber"/>
      </w:pPr>
      <w:r>
        <w:t>Confermare l’operazione e aggiornare la pagina.</w:t>
      </w:r>
    </w:p>
    <w:p>
      <w:pPr>
        <w:pStyle w:val="ListNumber"/>
      </w:pPr>
      <w:r>
        <w:t>Verificare che lo stato di ogni permesso mostri Granted for &lt;tenant&gt;.</w:t>
      </w:r>
    </w:p>
    <w:p>
      <w:pPr>
        <w:pStyle w:val="ListNumber"/>
      </w:pPr>
      <w:r>
        <w:t>Eseguire un nuovo accesso nell’app: un nuovo scope può invalidare il token in cache e richiedere interazione/MFA.</w:t>
      </w:r>
    </w:p>
    <w:p>
      <w:pPr>
        <w:pStyle w:val="Callout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Ruoli amministrativi  </w:t>
      </w:r>
      <w:r>
        <w:rPr>
          <w:rFonts w:ascii="Aptos" w:hAnsi="Aptos"/>
          <w:color w:val="212121"/>
        </w:rPr>
        <w:t>La possibilità di concedere il consenso dipende dal permesso e dai ruoli Entra. Applicare il minimo privilegio, usare account amministrativi separati e rispettare PIM/approvazioni se previsti.</w:t>
      </w:r>
    </w:p>
    <w:p>
      <w:pPr>
        <w:pStyle w:val="Heading2"/>
      </w:pPr>
      <w:r>
        <w:t>4.6 Verifica dell’Enterprise Application</w:t>
      </w:r>
    </w:p>
    <w:p>
      <w:pPr>
        <w:pStyle w:val="ListBullet"/>
      </w:pPr>
      <w:r>
        <w:t>Controllare che il service principal sia abilitato all’accesso.</w:t>
      </w:r>
    </w:p>
    <w:p>
      <w:pPr>
        <w:pStyle w:val="ListBullet"/>
      </w:pPr>
      <w:r>
        <w:t>Se Assignment required è Yes, verificare le assegnazioni dei gruppi utenti e audit.</w:t>
      </w:r>
    </w:p>
    <w:p>
      <w:pPr>
        <w:pStyle w:val="ListBullet"/>
      </w:pPr>
      <w:r>
        <w:t>Applicare Conditional Access, MFA, criteri di rischio e device compliance secondo le policy dello Studio.</w:t>
      </w:r>
    </w:p>
    <w:p>
      <w:pPr>
        <w:pStyle w:val="ListBullet"/>
      </w:pPr>
      <w:r>
        <w:t>Verificare periodicamente permessi, owner, consent grants e sign-in logs.</w:t>
      </w:r>
    </w:p>
    <w:p>
      <w:r>
        <w:br w:type="page"/>
      </w:r>
    </w:p>
    <w:p>
      <w:pPr>
        <w:pStyle w:val="Heading1"/>
      </w:pPr>
      <w:r>
        <w:t>5. Configurazione SharePoint Online</w:t>
      </w:r>
    </w:p>
    <w:p>
      <w:pPr>
        <w:pStyle w:val="Heading2"/>
      </w:pPr>
      <w:r>
        <w:t>5.1 Sito e raccolta documenti</w:t>
      </w:r>
    </w:p>
    <w:p>
      <w:pPr>
        <w:pStyle w:val="ListNumber"/>
      </w:pPr>
      <w:r>
        <w:t>Predisporre un sito dedicato, preferibilmente privato, con owner amministrativi nominati.</w:t>
      </w:r>
    </w:p>
    <w:p>
      <w:pPr>
        <w:pStyle w:val="ListNumber"/>
      </w:pPr>
      <w:r>
        <w:t>Configurare la raccolta documenti utilizzata come raccolta predefinita dal sito oppure verificare che l’app individui quella corretta.</w:t>
      </w:r>
    </w:p>
    <w:p>
      <w:pPr>
        <w:pStyle w:val="ListNumber"/>
      </w:pPr>
      <w:r>
        <w:t>Creare le colonne Richiesto da, Note e scadenza con i tipi indicati nel capitolo 2.</w:t>
      </w:r>
    </w:p>
    <w:p>
      <w:pPr>
        <w:pStyle w:val="ListNumber"/>
      </w:pPr>
      <w:r>
        <w:t>Assegnare al gruppo operatori i soli diritti necessari; evitare autorizzazioni generalizzate come Everyone except external users.</w:t>
      </w:r>
    </w:p>
    <w:p>
      <w:pPr>
        <w:pStyle w:val="ListNumber"/>
      </w:pPr>
      <w:r>
        <w:t>Impostare sharing esterno compatibile con ospiti autenticati e con le policy tenant/sito.</w:t>
      </w:r>
    </w:p>
    <w:p>
      <w:pPr>
        <w:pStyle w:val="Heading2"/>
      </w:pPr>
      <w:r>
        <w:t>5.2 Bootstrap delle liste audit</w:t>
      </w:r>
    </w:p>
    <w:p>
      <w:r>
        <w:t>Al primo collegamento l’app cerca le liste PresaVisioneDataRoom e DataRoomActivityLog. Se non esistono le crea con hidden=true; se esistono verifica e aggiunge le colonne mancanti. Eseguire il primo avvio con un account owner/amministratore SharePoint autorizzato.</w:t>
      </w:r>
    </w:p>
    <w:p>
      <w:pPr>
        <w:pStyle w:val="Callout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Dopo il bootstrap  </w:t>
      </w:r>
      <w:r>
        <w:rPr>
          <w:rFonts w:ascii="Aptos" w:hAnsi="Aptos"/>
          <w:color w:val="212121"/>
        </w:rPr>
        <w:t>Rivedere le autorizzazioni delle due liste. Gli operatori devono poter registrare le attività necessarie; gli auditor devono poter leggere ed esportare; gli altri utenti non devono ottenere capacità di consultazione non necessarie. Collaudare l’app dopo ogni modifica ai permessi univoci.</w:t>
      </w:r>
    </w:p>
    <w:p>
      <w:pPr>
        <w:pStyle w:val="Heading2"/>
      </w:pPr>
      <w:r>
        <w:t>5.3 Retention, versioning e protezione</w:t>
      </w:r>
    </w:p>
    <w:p>
      <w:pPr>
        <w:pStyle w:val="ListBullet"/>
      </w:pPr>
      <w:r>
        <w:t>Definire una retention approvata per audit, prese visione, documenti di pratica e log locali.</w:t>
      </w:r>
    </w:p>
    <w:p>
      <w:pPr>
        <w:pStyle w:val="ListBullet"/>
      </w:pPr>
      <w:r>
        <w:t>Valutare versioning, cestino, etichette di conservazione e sensitivity label in base alla classificazione dei dati.</w:t>
      </w:r>
    </w:p>
    <w:p>
      <w:pPr>
        <w:pStyle w:val="ListBullet"/>
      </w:pPr>
      <w:r>
        <w:t>Verificare periodicamente condivisioni esterne, guest inattivi e access review.</w:t>
      </w:r>
    </w:p>
    <w:p>
      <w:pPr>
        <w:pStyle w:val="ListBullet"/>
      </w:pPr>
      <w:r>
        <w:t>Non usare la proprietà hidden delle liste come controllo di sicurezza o requisito di segregazione.</w:t>
      </w:r>
    </w:p>
    <w:p>
      <w:pPr>
        <w:pStyle w:val="Heading1"/>
      </w:pPr>
      <w:r>
        <w:t>6. File appsettings.json</w:t>
      </w:r>
    </w:p>
    <w:p>
      <w:r>
        <w:t>Il file è distribuito accanto all’eseguibile e viene caricato all’avvio. Tenant ID e Client ID non sono segreti, ma il file deve essere protetto da modifiche non autorizzate.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96"/>
        <w:gridCol w:w="6264"/>
      </w:tblGrid>
      <w:tr>
        <w:trPr>
          <w:tblHeader w:val="true"/>
          <w:cantSplit/>
        </w:trPr>
        <w:tc>
          <w:tcPr>
            <w:tcW w:type="dxa" w:w="3096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Chiave</w:t>
            </w:r>
          </w:p>
        </w:tc>
        <w:tc>
          <w:tcPr>
            <w:tcW w:type="dxa" w:w="6264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Valore attuale / significato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AzureAd:TenantId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2196834a-d9d2-4322-bff5-97bd36c1ace5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AzureAd:ClientId</w:t>
            </w:r>
          </w:p>
        </w:tc>
        <w:tc>
          <w:tcPr>
            <w:tcW w:type="dxa" w:w="62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a078280c-29cd-45c7-96ad-c8dc41764d0c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AzureAd:RedirectUri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msala078280c-29cd-45c7-96ad-c8dc41764d0c://auth (presente nel file, ma non consumato dalla build corrente)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SharePoint:SiteUrl</w:t>
            </w:r>
          </w:p>
        </w:tc>
        <w:tc>
          <w:tcPr>
            <w:tcW w:type="dxa" w:w="62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https://giovanardieassociatistud.sharepoint.com/sites/GSLDataRoom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Security:AuditReadersGroupId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70defbb8-181e-4bc0-8385-99a782a8195e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Branding</w:t>
            </w:r>
          </w:p>
        </w:tc>
        <w:tc>
          <w:tcPr>
            <w:tcW w:type="dxa" w:w="62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Nome studio, nome prodotto, percorso logo e certificazioni mostrate nell’app.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Theme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Colori istituzionali e colori funzionali, centralizzati per il futuro rebranding.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Logging:Path</w:t>
            </w:r>
          </w:p>
        </w:tc>
        <w:tc>
          <w:tcPr>
            <w:tcW w:type="dxa" w:w="62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Percorso dichiarato per i log; la configurazione corrente del programma scrive in Logs/log-.txt.</w:t>
            </w:r>
          </w:p>
        </w:tc>
      </w:tr>
    </w:tbl>
    <w:p>
      <w:pPr>
        <w:spacing w:after="20"/>
      </w:pPr>
    </w:p>
    <w:p>
      <w:pPr>
        <w:pStyle w:val="Callout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Gestione del file  </w:t>
      </w:r>
      <w:r>
        <w:rPr>
          <w:rFonts w:ascii="Aptos" w:hAnsi="Aptos"/>
          <w:color w:val="212121"/>
        </w:rPr>
        <w:t>Conservare un master controllato, distribuire mediante canale aziendale, limitare i diritti di scrittura agli amministratori, validare gli hash del pacchetto e documentare ogni variazione di tenant, sito, gruppo audit, branding o colori.</w:t>
      </w:r>
    </w:p>
    <w:p>
      <w:pPr>
        <w:pStyle w:val="Heading1"/>
      </w:pPr>
      <w:r>
        <w:t>7. Collaudo iniziale</w:t>
      </w:r>
    </w:p>
    <w:p>
      <w:pPr>
        <w:pStyle w:val="ListBullet"/>
      </w:pPr>
      <w:r>
        <w:t>☐ Accesso silenzioso riuscito dopo il primo login; richiesta interattiva corretta in assenza di cache.</w:t>
      </w:r>
    </w:p>
    <w:p>
      <w:pPr>
        <w:pStyle w:val="ListBullet"/>
      </w:pPr>
      <w:r>
        <w:t>☐ Indicatore Microsoft 365 verde e profilo utente corretto.</w:t>
      </w:r>
    </w:p>
    <w:p>
      <w:pPr>
        <w:pStyle w:val="ListBullet"/>
      </w:pPr>
      <w:r>
        <w:t>☐ Caricamento delle pratiche e lettura delle tre colonne SharePoint.</w:t>
      </w:r>
    </w:p>
    <w:p>
      <w:pPr>
        <w:pStyle w:val="ListBullet"/>
      </w:pPr>
      <w:r>
        <w:t>☐ Creazione pratica con nome duplicato e numerazione progressiva.</w:t>
      </w:r>
    </w:p>
    <w:p>
      <w:pPr>
        <w:pStyle w:val="ListBullet"/>
      </w:pPr>
      <w:r>
        <w:t>☐ Invito interno ed esterno in Lettura/Scrittura con email ricevuta.</w:t>
      </w:r>
    </w:p>
    <w:p>
      <w:pPr>
        <w:pStyle w:val="ListBullet"/>
      </w:pPr>
      <w:r>
        <w:t>☐ Modifica ruolo e rimozione singola con conferma e audit.</w:t>
      </w:r>
    </w:p>
    <w:p>
      <w:pPr>
        <w:pStyle w:val="ListBullet"/>
      </w:pPr>
      <w:r>
        <w:t>☐ Invio link ai soli utenti già autorizzati e verifica della copia in Posta inviata.</w:t>
      </w:r>
    </w:p>
    <w:p>
      <w:pPr>
        <w:pStyle w:val="ListBullet"/>
      </w:pPr>
      <w:r>
        <w:t>☐ Pratica scaduta: revoca dei soli esterni; utenti interni invariati.</w:t>
      </w:r>
    </w:p>
    <w:p>
      <w:pPr>
        <w:pStyle w:val="ListBullet"/>
      </w:pPr>
      <w:r>
        <w:t>☐ Disclaimer mostrato una sola volta per versione e registrato nella lista online.</w:t>
      </w:r>
    </w:p>
    <w:p>
      <w:pPr>
        <w:pStyle w:val="ListBullet"/>
      </w:pPr>
      <w:r>
        <w:t>☐ Utente audit: pulsanti Registro audit e Log locale visibili; utente ordinario: pulsanti non visibili.</w:t>
      </w:r>
    </w:p>
    <w:p>
      <w:pPr>
        <w:pStyle w:val="ListBullet"/>
      </w:pPr>
      <w:r>
        <w:t>☐ Esportazione CSV audit e verifica dei campi operazione, pratica, destinatario, esito e dettagli.</w:t>
      </w:r>
    </w:p>
    <w:p>
      <w:pPr>
        <w:pStyle w:val="ListBullet"/>
      </w:pPr>
      <w:r>
        <w:t>☐ Utente non assegnato all’Enterprise Application: accesso negato se Assignment required è attivo.</w:t>
      </w:r>
    </w:p>
    <w:p>
      <w:pPr>
        <w:pStyle w:val="Heading1"/>
      </w:pPr>
      <w:r>
        <w:t>8. Esercizio e controlli periodici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Frequenza</w:t>
            </w:r>
          </w:p>
        </w:tc>
        <w:tc>
          <w:tcPr>
            <w:tcW w:type="dxa" w:w="756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Controllo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Mensile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Membership gruppi utenti/audit/admin, ospiti inattivi, errori audit e log applicativi.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Trimestrale</w:t>
            </w:r>
          </w:p>
        </w:tc>
        <w:tc>
          <w:tcPr>
            <w:tcW w:type="dxa" w:w="7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Permessi Enterprise Application, consent grants, owner gruppi, accessi SharePoint e condivisioni esterne.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Semestrale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Test di ripristino/configurazione, retention, Conditional Access, versioni librerie e aggiornamenti sicurezza.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 ogni rilascio</w:t>
            </w:r>
          </w:p>
        </w:tc>
        <w:tc>
          <w:tcPr>
            <w:tcW w:type="dxa" w:w="7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Hash pacchetto, appsettings, nuova versione disclaimer, regressione funzioni critiche e aggiornamento del manuale.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 ogni rebranding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Branding, logo, nome applicazione, colori, disclaimer, documentazione, pacchetto e comunicazioni agli utenti.</w:t>
            </w:r>
          </w:p>
        </w:tc>
      </w:tr>
    </w:tbl>
    <w:p>
      <w:pPr>
        <w:spacing w:after="20"/>
      </w:pPr>
    </w:p>
    <w:p>
      <w:pPr>
        <w:pStyle w:val="Heading1"/>
      </w:pPr>
      <w:r>
        <w:t>9. Risoluzione dei problemi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rPr>
          <w:tblHeader w:val="true"/>
          <w:cantSplit/>
        </w:trPr>
        <w:tc>
          <w:tcPr>
            <w:tcW w:type="dxa" w:w="2952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Sintomo</w:t>
            </w:r>
          </w:p>
        </w:tc>
        <w:tc>
          <w:tcPr>
            <w:tcW w:type="dxa" w:w="640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Verifiche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Richiesta continua di accesso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Consenso, redirect URI effettivo, Conditional Access/MFA, cache MSAL locale, account e tenant.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403/Access denied su SharePoint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Permessi delegati, consenso, accesso reale dell’utente al sito/raccolta, sharing e ruolo SharePoint.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Liste audit non create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Sites.Manage.All delegato, consenso, privilegi dell’utente sul sito e diritto di creare liste/colonne.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Registro audit non visibile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Object ID del gruppo, membership, GroupMember.Read.All, consenso e nuova autenticazione dopo la modifica.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Invito non ricevuto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Email, spam/quarantena, sharing esterno, stato guest, esito Graph e voce audit dell’operazione.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Invia link fallisce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Mail.Send delegato, consenso, mailbox/licenza dell’utente, Exchange Online e risposta Graph.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Scadenza non applicata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L’app deve essere avviata dopo la data; controllare metadato scadenza, accessi esterni e audit della chiusura.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Colonne non trovate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Nomi visualizzati esatti: Richiesto da, Note, scadenza; raccolta documenti corretta.</w:t>
            </w:r>
          </w:p>
        </w:tc>
      </w:tr>
    </w:tbl>
    <w:p>
      <w:pPr>
        <w:spacing w:after="20"/>
      </w:pPr>
    </w:p>
    <w:p>
      <w:pPr>
        <w:pStyle w:val="Heading1"/>
      </w:pPr>
      <w:r>
        <w:t>10. Raccomandazioni di sicurezza e roadmap</w:t>
      </w:r>
    </w:p>
    <w:p>
      <w:pPr>
        <w:pStyle w:val="ListBullet"/>
      </w:pPr>
      <w:r>
        <w:t>Valutare la riduzione degli scope tenant-wide tramite un disegno Sites.Selected o equivalente; la build corrente non è predisposta e richiede modifica e collaudo.</w:t>
      </w:r>
    </w:p>
    <w:p>
      <w:pPr>
        <w:pStyle w:val="ListBullet"/>
      </w:pPr>
      <w:r>
        <w:t>Separare il bootstrap amministrativo dalla normale esecuzione, così gli operatori non necessitano di capacità di gestione liste dopo la configurazione iniziale.</w:t>
      </w:r>
    </w:p>
    <w:p>
      <w:pPr>
        <w:pStyle w:val="ListBullet"/>
      </w:pPr>
      <w:r>
        <w:t>Valutare un backend o’automazione cloud per revoche a scadenza garantite anche quando nessun client viene avviato.</w:t>
      </w:r>
    </w:p>
    <w:p>
      <w:pPr>
        <w:pStyle w:val="ListBullet"/>
      </w:pPr>
      <w:r>
        <w:t>Applicare ACL specifiche e retention alle liste audit; considerare un repository di logging con immutabilità e segregazione coerenti con i requisiti dello Studio.</w:t>
      </w:r>
    </w:p>
    <w:p>
      <w:pPr>
        <w:pStyle w:val="ListBullet"/>
      </w:pPr>
      <w:r>
        <w:t>Firmare il codice e il pacchetto di distribuzione; distribuire tramite canale gestito e verificare integrità/versione.</w:t>
      </w:r>
    </w:p>
    <w:p>
      <w:pPr>
        <w:pStyle w:val="ListBullet"/>
      </w:pPr>
      <w:r>
        <w:t>Formalizzare access review, incident response, backup, ripristino e change management nel sistema ISO 9001 / ISO/IEC 27001 / UNI 11871.</w:t>
      </w:r>
    </w:p>
    <w:p>
      <w:pPr>
        <w:pStyle w:val="Heading1"/>
      </w:pPr>
      <w:r>
        <w:t>11. Riferimenti Microsoft ufficiali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Registrare un’app Microsoft Entra: </w:t>
      </w:r>
      <w:r>
        <w:rPr>
          <w:rFonts w:ascii="Aptos" w:hAnsi="Aptos"/>
          <w:color w:val="355E8B"/>
          <w:sz w:val="19"/>
        </w:rPr>
        <w:t>https://learn.microsoft.com/en-us/entra/identity-platform/quickstart-register-app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Configurare app desktop che chiamano API: </w:t>
      </w:r>
      <w:r>
        <w:rPr>
          <w:rFonts w:ascii="Aptos" w:hAnsi="Aptos"/>
          <w:color w:val="355E8B"/>
          <w:sz w:val="19"/>
        </w:rPr>
        <w:t>https://learn.microsoft.com/en-us/entra/identity-platform/scenario-desktop-app-configuration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Aggiungere un redirect URI: </w:t>
      </w:r>
      <w:r>
        <w:rPr>
          <w:rFonts w:ascii="Aptos" w:hAnsi="Aptos"/>
          <w:color w:val="355E8B"/>
          <w:sz w:val="19"/>
        </w:rPr>
        <w:t>https://learn.microsoft.com/en-us/entra/identity-platform/how-to-add-redirect-uri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Permessi API e consenso amministrativo: </w:t>
      </w:r>
      <w:r>
        <w:rPr>
          <w:rFonts w:ascii="Aptos" w:hAnsi="Aptos"/>
          <w:color w:val="355E8B"/>
          <w:sz w:val="19"/>
        </w:rPr>
        <w:t>https://learn.microsoft.com/en-us/entra/identity-platform/quickstart-configure-app-access-web-apis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Riferimento permessi Microsoft Graph: </w:t>
      </w:r>
      <w:r>
        <w:rPr>
          <w:rFonts w:ascii="Aptos" w:hAnsi="Aptos"/>
          <w:color w:val="355E8B"/>
          <w:sz w:val="19"/>
        </w:rPr>
        <w:t>https://learn.microsoft.com/en-us/graph/permissions-reference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Invito a un driveItem SharePoint: </w:t>
      </w:r>
      <w:r>
        <w:rPr>
          <w:rFonts w:ascii="Aptos" w:hAnsi="Aptos"/>
          <w:color w:val="355E8B"/>
          <w:sz w:val="19"/>
        </w:rPr>
        <w:t>https://learn.microsoft.com/en-us/graph/api/driveitem-invite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Verifica membership dei gruppi: </w:t>
      </w:r>
      <w:r>
        <w:rPr>
          <w:rFonts w:ascii="Aptos" w:hAnsi="Aptos"/>
          <w:color w:val="355E8B"/>
          <w:sz w:val="19"/>
        </w:rPr>
        <w:t>https://learn.microsoft.com/en-us/graph/api/directoryobject-checkmembergroups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Assegnare utenti e gruppi alle applicazioni: </w:t>
      </w:r>
      <w:r>
        <w:rPr>
          <w:rFonts w:ascii="Aptos" w:hAnsi="Aptos"/>
          <w:color w:val="355E8B"/>
          <w:sz w:val="19"/>
        </w:rPr>
        <w:t>https://learn.microsoft.com/en-us/entra/identity/enterprise-apps/assign-user-or-group-access-portal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Condivisione e permessi SharePoint: </w:t>
      </w:r>
      <w:r>
        <w:rPr>
          <w:rFonts w:ascii="Aptos" w:hAnsi="Aptos"/>
          <w:color w:val="355E8B"/>
          <w:sz w:val="19"/>
        </w:rPr>
        <w:t>https://learn.microsoft.com/en-us/sharepoint/modern-experience-sharing-permissions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Limitare la condivisione esterna a gruppi: </w:t>
      </w:r>
      <w:r>
        <w:rPr>
          <w:rFonts w:ascii="Aptos" w:hAnsi="Aptos"/>
          <w:color w:val="355E8B"/>
          <w:sz w:val="19"/>
        </w:rPr>
        <w:t>https://learn.microsoft.com/en-us/sharepoint/manage-security-groups</w:t>
      </w:r>
    </w:p>
    <w:p>
      <w:pPr>
        <w:pStyle w:val="Heading1"/>
      </w:pPr>
      <w:r>
        <w:t>Appendice A — Matrice sintetica delle responsabilità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68"/>
        <w:gridCol w:w="1512"/>
        <w:gridCol w:w="1584"/>
        <w:gridCol w:w="1440"/>
        <w:gridCol w:w="1656"/>
      </w:tblGrid>
      <w:tr>
        <w:trPr>
          <w:tblHeader w:val="true"/>
          <w:cantSplit/>
        </w:trPr>
        <w:tc>
          <w:tcPr>
            <w:tcW w:type="dxa" w:w="316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Attività</w:t>
            </w:r>
          </w:p>
        </w:tc>
        <w:tc>
          <w:tcPr>
            <w:tcW w:type="dxa" w:w="1512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Tenant/Entra admin</w:t>
            </w:r>
          </w:p>
        </w:tc>
        <w:tc>
          <w:tcPr>
            <w:tcW w:type="dxa" w:w="1584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SharePoint admin</w:t>
            </w:r>
          </w:p>
        </w:tc>
        <w:tc>
          <w:tcPr>
            <w:tcW w:type="dxa" w:w="144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Operatore</w:t>
            </w:r>
          </w:p>
        </w:tc>
        <w:tc>
          <w:tcPr>
            <w:tcW w:type="dxa" w:w="1656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Audit reader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App registration e consenso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R/A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Sito, colonne e bootstrap</w:t>
            </w:r>
          </w:p>
        </w:tc>
        <w:tc>
          <w:tcPr>
            <w:tcW w:type="dxa" w:w="15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  <w:tc>
          <w:tcPr>
            <w:tcW w:type="dxa" w:w="158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R/A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65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Membership gruppo utenti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R/A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Membership gruppo audit</w:t>
            </w:r>
          </w:p>
        </w:tc>
        <w:tc>
          <w:tcPr>
            <w:tcW w:type="dxa" w:w="15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R/A</w:t>
            </w:r>
          </w:p>
        </w:tc>
        <w:tc>
          <w:tcPr>
            <w:tcW w:type="dxa" w:w="158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65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Gestione pratiche e accessi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R/A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Consultazione/esportazione audit</w:t>
            </w:r>
          </w:p>
        </w:tc>
        <w:tc>
          <w:tcPr>
            <w:tcW w:type="dxa" w:w="15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58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65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R/A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Retention e access review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A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</w:tr>
    </w:tbl>
    <w:p>
      <w:pPr>
        <w:spacing w:after="20"/>
      </w:pPr>
    </w:p>
    <w:p>
      <w:r>
        <w:t>Legenda: R = Responsible; A = Accountable; C = Consulted; I = Informed.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55555"/>
        <w:sz w:val="17"/>
      </w:rPr>
      <w:t xml:space="preserve">Giovanardi Studio Legale  •  Uso interno  |  </w:t>
    </w:r>
    <w:r>
      <w:rPr>
        <w:rFonts w:ascii="Aptos" w:hAnsi="Aptos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55555"/>
        <w:sz w:val="17"/>
      </w:rPr>
      <w:t>DATA ROOM  |  MANUALE DI AMMINISTRAZIONE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ptos" w:hAnsi="Aptos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55E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E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47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4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4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 w:line="269" w:lineRule="auto"/>
      <w:ind w:left="259" w:right="259"/>
    </w:pPr>
    <w:rPr>
      <w:rFonts w:ascii="Aptos" w:hAnsi="Aptos"/>
      <w:color w:val="2747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di amministrazione - Giovanardi Studio Legale Data Room</dc:title>
  <dc:subject>Configurazione Microsoft 365, SharePoint, Microsoft Graph e gestione operativa</dc:subject>
  <dc:creator>Giovanardi Studio Legale</dc:creator>
  <cp:keywords>Data Room, SharePoint, Microsoft Graph, Entra ID, audit, amministrazione</cp:keywords>
  <dc:description>Documento generato sulla base della configurazione applicativa al 20 luglio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