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320"/>
      </w:pPr>
    </w:p>
    <w:p>
      <w:pPr>
        <w:spacing w:after="840"/>
        <w:jc w:val="center"/>
      </w:pPr>
      <w:r>
        <w:drawing>
          <wp:inline xmlns:a="http://schemas.openxmlformats.org/drawingml/2006/main" xmlns:pic="http://schemas.openxmlformats.org/drawingml/2006/picture">
            <wp:extent cx="2240280" cy="881765"/>
            <wp:docPr id="1" name="Picture 1" descr="Logo Giovanardi Studio Legale" title="Giovanardi Studio Legale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Studio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240280" cy="88176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Aptos" w:hAnsi="Aptos"/>
          <w:b/>
          <w:color w:val="C9B76A"/>
          <w:sz w:val="22"/>
        </w:rPr>
        <w:t>MANUALE DI AMMINISTRAZIONE</w:t>
      </w:r>
    </w:p>
    <w:p>
      <w:pPr>
        <w:spacing w:after="160"/>
        <w:jc w:val="center"/>
      </w:pPr>
      <w:r>
        <w:rPr>
          <w:rFonts w:ascii="Aptos Display" w:hAnsi="Aptos Display"/>
          <w:b/>
          <w:color w:val="274766"/>
          <w:sz w:val="56"/>
        </w:rPr>
        <w:t>Giovanardi Studio Legale Data Room</w:t>
      </w:r>
    </w:p>
    <w:p>
      <w:pPr>
        <w:spacing w:after="1160"/>
        <w:jc w:val="center"/>
      </w:pPr>
      <w:r>
        <w:rPr>
          <w:rFonts w:ascii="Aptos" w:hAnsi="Aptos"/>
          <w:color w:val="555555"/>
          <w:sz w:val="26"/>
        </w:rPr>
        <w:t>Funzionamento, configurazione Microsoft 365, sicurezza e gestione operativa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232"/>
        <w:gridCol w:w="7128"/>
      </w:tblGrid>
      <w:tr>
        <w:trPr>
          <w:tblHeader w:val="true"/>
          <w:cantSplit/>
        </w:trPr>
        <w:tc>
          <w:tcPr>
            <w:tcW w:type="dxa" w:w="2232"/>
            <w:shd w:fill="27476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color w:val="274766"/>
                <w:sz w:val="18"/>
              </w:rPr>
              <w:t>Documento</w:t>
            </w:r>
          </w:p>
        </w:tc>
        <w:tc>
          <w:tcPr>
            <w:tcW w:type="dxa" w:w="7128"/>
            <w:shd w:fill="27476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color w:val="274766"/>
                <w:sz w:val="18"/>
              </w:rPr>
              <w:t>Valore</w:t>
            </w:r>
          </w:p>
        </w:tc>
      </w:tr>
      <w:tr>
        <w:trPr>
          <w:cantSplit/>
        </w:trPr>
        <w:tc>
          <w:tcPr>
            <w:tcW w:type="dxa" w:w="223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212121"/>
                <w:sz w:val="19"/>
              </w:rPr>
              <w:t>Versione</w:t>
            </w:r>
          </w:p>
        </w:tc>
        <w:tc>
          <w:tcPr>
            <w:tcW w:type="dxa" w:w="712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212121"/>
                <w:sz w:val="19"/>
              </w:rPr>
              <w:t>1.0</w:t>
            </w:r>
          </w:p>
        </w:tc>
      </w:tr>
      <w:tr>
        <w:trPr>
          <w:cantSplit/>
        </w:trPr>
        <w:tc>
          <w:tcPr>
            <w:tcW w:type="dxa" w:w="2232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212121"/>
                <w:sz w:val="19"/>
              </w:rPr>
              <w:t>Data di riferimento</w:t>
            </w:r>
          </w:p>
        </w:tc>
        <w:tc>
          <w:tcPr>
            <w:tcW w:type="dxa" w:w="7128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212121"/>
                <w:sz w:val="19"/>
              </w:rPr>
              <w:t>20 luglio 2026</w:t>
            </w:r>
          </w:p>
        </w:tc>
      </w:tr>
      <w:tr>
        <w:trPr>
          <w:cantSplit/>
        </w:trPr>
        <w:tc>
          <w:tcPr>
            <w:tcW w:type="dxa" w:w="223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212121"/>
                <w:sz w:val="19"/>
              </w:rPr>
              <w:t>Destinatari</w:t>
            </w:r>
          </w:p>
        </w:tc>
        <w:tc>
          <w:tcPr>
            <w:tcW w:type="dxa" w:w="712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212121"/>
                <w:sz w:val="19"/>
              </w:rPr>
              <w:t>Amministratori Microsoft 365, SharePoint, IT e responsabili audit</w:t>
            </w:r>
          </w:p>
        </w:tc>
      </w:tr>
      <w:tr>
        <w:trPr>
          <w:cantSplit/>
        </w:trPr>
        <w:tc>
          <w:tcPr>
            <w:tcW w:type="dxa" w:w="2232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212121"/>
                <w:sz w:val="19"/>
              </w:rPr>
              <w:t>Classificazione</w:t>
            </w:r>
          </w:p>
        </w:tc>
        <w:tc>
          <w:tcPr>
            <w:tcW w:type="dxa" w:w="7128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212121"/>
                <w:sz w:val="19"/>
              </w:rPr>
              <w:t>Uso interno</w:t>
            </w:r>
          </w:p>
        </w:tc>
      </w:tr>
    </w:tbl>
    <w:p>
      <w:pPr>
        <w:spacing w:after="20"/>
      </w:pPr>
    </w:p>
    <w:p>
      <w:pPr>
        <w:pStyle w:val="Callout"/>
        <w:shd w:fill="D6E2EE"/>
        <w:pBdr>
          <w:left w:val="single" w:sz="18" w:color="355E8B"/>
        </w:pBdr>
      </w:pPr>
      <w:r>
        <w:rPr>
          <w:rFonts w:ascii="Aptos" w:hAnsi="Aptos"/>
          <w:b/>
          <w:color w:val="274766"/>
        </w:rPr>
        <w:t xml:space="preserve">Ambito del documento  </w:t>
      </w:r>
      <w:r>
        <w:rPr>
          <w:rFonts w:ascii="Aptos" w:hAnsi="Aptos"/>
          <w:color w:val="212121"/>
        </w:rPr>
        <w:t>Il manuale descrive la configurazione effettivamente richiesta dalla versione corrente dell’applicazione. Non sostituisce le policy di sicurezza, conservazione, incident management o data protection dello Studio.</w:t>
      </w:r>
    </w:p>
    <w:p>
      <w:r>
        <w:br w:type="page"/>
      </w:r>
    </w:p>
    <w:p>
      <w:pPr>
        <w:pStyle w:val="Heading1"/>
      </w:pPr>
      <w:r>
        <w:t>1. Scopo e principi di funzionamento</w:t>
      </w:r>
    </w:p>
    <w:p>
      <w:r>
        <w:t>L’applicazione è un client Windows per la gestione controllata di cartelle utilizzate per le condivisioni in una raccolta documenti SharePoint Online. Opera per conto dell’utente autenticato tramite Microsoft Entra ID e Microsoft Graph; non utilizza credenziali applicative, client secret o processi server autonomi.</w:t>
      </w:r>
    </w:p>
    <w:p>
      <w:pPr>
        <w:pStyle w:val="Callout"/>
        <w:shd w:fill="D6E2EE"/>
        <w:pBdr>
          <w:left w:val="single" w:sz="18" w:color="355E8B"/>
        </w:pBdr>
      </w:pPr>
      <w:r>
        <w:rPr>
          <w:rFonts w:ascii="Aptos" w:hAnsi="Aptos"/>
          <w:b/>
          <w:color w:val="274766"/>
        </w:rPr>
        <w:t xml:space="preserve">Principio di autorizzazione  </w:t>
      </w:r>
      <w:r>
        <w:rPr>
          <w:rFonts w:ascii="Aptos" w:hAnsi="Aptos"/>
          <w:color w:val="212121"/>
        </w:rPr>
        <w:t>I permessi Graph delegati non sostituiscono i permessi SharePoint dell’utente. L’operatore deve essere autorizzato sia ad accedere all’applicazione sia al sito e alla raccolta documenti interessati.</w:t>
      </w:r>
    </w:p>
    <w:p>
      <w:pPr>
        <w:pStyle w:val="Heading2"/>
      </w:pPr>
      <w:r>
        <w:t>1.1 Flusso di avvio</w:t>
      </w:r>
    </w:p>
    <w:p>
      <w:pPr>
        <w:pStyle w:val="ListNumber"/>
      </w:pPr>
      <w:r>
        <w:t>L’app tenta l’accesso silenzioso usando la cache MSAL protetta nel profilo locale dell’utente; se la sessione non è valida richiede l’accesso interattivo.</w:t>
      </w:r>
    </w:p>
    <w:p>
      <w:pPr>
        <w:pStyle w:val="ListNumber"/>
      </w:pPr>
      <w:r>
        <w:t>Recupera identità, sito SharePoint e raccolta documenti predefinita.</w:t>
      </w:r>
    </w:p>
    <w:p>
      <w:pPr>
        <w:pStyle w:val="ListNumber"/>
      </w:pPr>
      <w:r>
        <w:t>Verifica o crea le liste di conformità e le colonne previste.</w:t>
      </w:r>
    </w:p>
    <w:p>
      <w:pPr>
        <w:pStyle w:val="ListNumber"/>
      </w:pPr>
      <w:r>
        <w:t>Controlla la presa visione del disclaimer; se manca, richiede conferma e la registra online.</w:t>
      </w:r>
    </w:p>
    <w:p>
      <w:pPr>
        <w:pStyle w:val="ListNumber"/>
      </w:pPr>
      <w:r>
        <w:t>Verifica l’appartenenza al gruppo audit e abilita le funzioni riservate solo agli autorizzati.</w:t>
      </w:r>
    </w:p>
    <w:p>
      <w:pPr>
        <w:pStyle w:val="ListNumber"/>
      </w:pPr>
      <w:r>
        <w:t>Carica le condivisioni e controlla le scadenze; se rileva condivisioni scadute con accessi esterni ancora presenti, propone la chiusura selettiva o complessiva.</w:t>
      </w:r>
    </w:p>
    <w:p>
      <w:pPr>
        <w:pStyle w:val="Heading2"/>
      </w:pPr>
      <w:r>
        <w:t>1.2 Funzioni operative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33"/>
        <w:gridCol w:w="7027"/>
      </w:tblGrid>
      <w:tr>
        <w:trPr>
          <w:tblHeader w:val="true"/>
          <w:cantSplit/>
        </w:trPr>
        <w:tc>
          <w:tcPr>
            <w:tcW w:type="dxa" w:w="2333"/>
            <w:shd w:fill="355E8B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8"/>
              </w:rPr>
              <w:t>Funzione</w:t>
            </w:r>
          </w:p>
        </w:tc>
        <w:tc>
          <w:tcPr>
            <w:tcW w:type="dxa" w:w="7027"/>
            <w:shd w:fill="355E8B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8"/>
              </w:rPr>
              <w:t>Comportamento</w:t>
            </w:r>
          </w:p>
        </w:tc>
      </w:tr>
      <w:tr>
        <w:trPr>
          <w:cantSplit/>
        </w:trPr>
        <w:tc>
          <w:tcPr>
            <w:tcW w:type="dxa" w:w="2333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212121"/>
                <w:sz w:val="18"/>
              </w:rPr>
              <w:t>Nuova condivisione</w:t>
            </w:r>
          </w:p>
        </w:tc>
        <w:tc>
          <w:tcPr>
            <w:tcW w:type="dxa" w:w="7027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212121"/>
                <w:sz w:val="18"/>
              </w:rPr>
              <w:t>Crea una cartella nella root della raccolta; evita duplicati applicando una numerazione progressiva; registra richiedente, note e scadenza.</w:t>
            </w:r>
          </w:p>
        </w:tc>
      </w:tr>
      <w:tr>
        <w:trPr>
          <w:cantSplit/>
        </w:trPr>
        <w:tc>
          <w:tcPr>
            <w:tcW w:type="dxa" w:w="2333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212121"/>
                <w:sz w:val="18"/>
              </w:rPr>
              <w:t>Apri condivisione</w:t>
            </w:r>
          </w:p>
        </w:tc>
        <w:tc>
          <w:tcPr>
            <w:tcW w:type="dxa" w:w="7027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212121"/>
                <w:sz w:val="18"/>
              </w:rPr>
              <w:t>Elenca e filtra le cartelle esistenti, mostrando data di creazione e stato della scadenza.</w:t>
            </w:r>
          </w:p>
        </w:tc>
      </w:tr>
      <w:tr>
        <w:trPr>
          <w:cantSplit/>
        </w:trPr>
        <w:tc>
          <w:tcPr>
            <w:tcW w:type="dxa" w:w="2333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212121"/>
                <w:sz w:val="18"/>
              </w:rPr>
              <w:t>Aggiungi utente</w:t>
            </w:r>
          </w:p>
        </w:tc>
        <w:tc>
          <w:tcPr>
            <w:tcW w:type="dxa" w:w="7027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212121"/>
                <w:sz w:val="18"/>
              </w:rPr>
              <w:t>Invita uno o più destinatari, con ruolo Lettura o Scrittura e messaggio comune; l’invito richiede autenticazione.</w:t>
            </w:r>
          </w:p>
        </w:tc>
      </w:tr>
      <w:tr>
        <w:trPr>
          <w:cantSplit/>
        </w:trPr>
        <w:tc>
          <w:tcPr>
            <w:tcW w:type="dxa" w:w="2333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212121"/>
                <w:sz w:val="18"/>
              </w:rPr>
              <w:t>Modifica ruolo</w:t>
            </w:r>
          </w:p>
        </w:tc>
        <w:tc>
          <w:tcPr>
            <w:tcW w:type="dxa" w:w="7027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212121"/>
                <w:sz w:val="18"/>
              </w:rPr>
              <w:t>Aggiorna il permesso diretto del destinatario selezionato.</w:t>
            </w:r>
          </w:p>
        </w:tc>
      </w:tr>
      <w:tr>
        <w:trPr>
          <w:cantSplit/>
        </w:trPr>
        <w:tc>
          <w:tcPr>
            <w:tcW w:type="dxa" w:w="2333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212121"/>
                <w:sz w:val="18"/>
              </w:rPr>
              <w:t>Rimuovi</w:t>
            </w:r>
          </w:p>
        </w:tc>
        <w:tc>
          <w:tcPr>
            <w:tcW w:type="dxa" w:w="7027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212121"/>
                <w:sz w:val="18"/>
              </w:rPr>
              <w:t>Revoca manualmente il singolo accesso selezionato, interno o esterno, dopo conferma.</w:t>
            </w:r>
          </w:p>
        </w:tc>
      </w:tr>
      <w:tr>
        <w:trPr>
          <w:cantSplit/>
        </w:trPr>
        <w:tc>
          <w:tcPr>
            <w:tcW w:type="dxa" w:w="2333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212121"/>
                <w:sz w:val="18"/>
              </w:rPr>
              <w:t>Modifica condivisione</w:t>
            </w:r>
          </w:p>
        </w:tc>
        <w:tc>
          <w:tcPr>
            <w:tcW w:type="dxa" w:w="7027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212121"/>
                <w:sz w:val="18"/>
              </w:rPr>
              <w:t>Aggiorna nome, richiedente, note e scadenza; la scadenza può essere aggiunta, modificata o rimossa.</w:t>
            </w:r>
          </w:p>
        </w:tc>
      </w:tr>
      <w:tr>
        <w:trPr>
          <w:cantSplit/>
        </w:trPr>
        <w:tc>
          <w:tcPr>
            <w:tcW w:type="dxa" w:w="2333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212121"/>
                <w:sz w:val="18"/>
              </w:rPr>
              <w:t>Revoca accessi</w:t>
            </w:r>
          </w:p>
        </w:tc>
        <w:tc>
          <w:tcPr>
            <w:tcW w:type="dxa" w:w="7027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212121"/>
                <w:sz w:val="18"/>
              </w:rPr>
              <w:t>Revoca soltanto gli accessi esterni diretti non-owner. Utenti interni, gruppi, owner, cartella e documenti restano invariati.</w:t>
            </w:r>
          </w:p>
        </w:tc>
      </w:tr>
      <w:tr>
        <w:trPr>
          <w:cantSplit/>
        </w:trPr>
        <w:tc>
          <w:tcPr>
            <w:tcW w:type="dxa" w:w="2333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212121"/>
                <w:sz w:val="18"/>
              </w:rPr>
              <w:t>Invia link</w:t>
            </w:r>
          </w:p>
        </w:tc>
        <w:tc>
          <w:tcPr>
            <w:tcW w:type="dxa" w:w="7027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212121"/>
                <w:sz w:val="18"/>
              </w:rPr>
              <w:t>Invia via Microsoft 365 il collegamento ai soli destinatari già autorizzati e selezionati.</w:t>
            </w:r>
          </w:p>
        </w:tc>
      </w:tr>
      <w:tr>
        <w:trPr>
          <w:cantSplit/>
        </w:trPr>
        <w:tc>
          <w:tcPr>
            <w:tcW w:type="dxa" w:w="2333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212121"/>
                <w:sz w:val="18"/>
              </w:rPr>
              <w:t>Registro audit</w:t>
            </w:r>
          </w:p>
        </w:tc>
        <w:tc>
          <w:tcPr>
            <w:tcW w:type="dxa" w:w="7027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212121"/>
                <w:sz w:val="18"/>
              </w:rPr>
              <w:t>Disponibile esclusivamente ai membri del gruppo audit configurato; consente ricerca, filtri ed esportazione CSV.</w:t>
            </w:r>
          </w:p>
        </w:tc>
      </w:tr>
      <w:tr>
        <w:trPr>
          <w:cantSplit/>
        </w:trPr>
        <w:tc>
          <w:tcPr>
            <w:tcW w:type="dxa" w:w="2333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212121"/>
                <w:sz w:val="18"/>
              </w:rPr>
              <w:t>Log locale</w:t>
            </w:r>
          </w:p>
        </w:tc>
        <w:tc>
          <w:tcPr>
            <w:tcW w:type="dxa" w:w="7027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212121"/>
                <w:sz w:val="18"/>
              </w:rPr>
              <w:t>Visibile agli utenti audit; conserva diagnostica locale secondo la configurazione Serilog.</w:t>
            </w:r>
          </w:p>
        </w:tc>
      </w:tr>
    </w:tbl>
    <w:p>
      <w:pPr>
        <w:spacing w:after="20"/>
      </w:pPr>
    </w:p>
    <w:p>
      <w:pPr>
        <w:pStyle w:val="Heading2"/>
      </w:pPr>
      <w:r>
        <w:t>1.3 Scadenze e chiusura</w:t>
      </w:r>
    </w:p>
    <w:p>
      <w:r>
        <w:t>La data di scadenza è un metadato della cartella. Alla successiva esecuzione dell’app, una condivisione scaduta viene segnalata se conserva accessi esterni revocabili. I comandi “Chiudi selezionata” e “Chiudi tutte” rimuovono esclusivamente tali accessi esterni. Una condivisione è visualizzata come chiusa quando non conserva più accessi esterni, anche se utenti interni restano autorizzati.</w:t>
      </w:r>
    </w:p>
    <w:p>
      <w:pPr>
        <w:pStyle w:val="Callout"/>
        <w:shd w:fill="FFF4E5"/>
        <w:pBdr>
          <w:left w:val="single" w:sz="18" w:color="C9B76A"/>
        </w:pBdr>
      </w:pPr>
      <w:r>
        <w:rPr>
          <w:rFonts w:ascii="Aptos" w:hAnsi="Aptos"/>
          <w:b/>
          <w:color w:val="274766"/>
        </w:rPr>
        <w:t xml:space="preserve">Limitazione operativa  </w:t>
      </w:r>
      <w:r>
        <w:rPr>
          <w:rFonts w:ascii="Aptos" w:hAnsi="Aptos"/>
          <w:color w:val="212121"/>
        </w:rPr>
        <w:t>La versione corrente non esegue un processo cloud pianificato: se nessuno avvia l’app dopo la scadenza, la revoca non avviene automaticamente. Per scadenze garantite a un orario preciso serve un servizio Microsoft 365 indipendente dall’app desktop.</w:t>
      </w:r>
    </w:p>
    <w:p>
      <w:pPr>
        <w:pStyle w:val="Heading2"/>
      </w:pPr>
      <w:r>
        <w:t>1.4 Funzioni volutamente non presenti</w:t>
      </w:r>
    </w:p>
    <w:p>
      <w:pPr>
        <w:pStyle w:val="ListBullet"/>
      </w:pPr>
      <w:r>
        <w:t>Cancellazione di cartelle o condivisioni: deve essere eseguita direttamente in SharePoint da un amministratore autorizzato.</w:t>
      </w:r>
    </w:p>
    <w:p>
      <w:pPr>
        <w:pStyle w:val="ListBullet"/>
      </w:pPr>
      <w:r>
        <w:t>Permesso “No download”: non implementato nella versione corrente.</w:t>
      </w:r>
    </w:p>
    <w:p>
      <w:pPr>
        <w:pStyle w:val="ListBullet"/>
      </w:pPr>
      <w:r>
        <w:t>Revoca automatica degli utenti interni alla scadenza: esclusa; gli interni si rimuovono soltanto manualmente.</w:t>
      </w:r>
    </w:p>
    <w:p>
      <w:r>
        <w:br w:type="page"/>
      </w:r>
    </w:p>
    <w:p>
      <w:pPr>
        <w:pStyle w:val="Heading1"/>
      </w:pPr>
      <w:r>
        <w:t>2. Architettura e dati</w:t>
      </w:r>
    </w:p>
    <w:p>
      <w:pPr>
        <w:pStyle w:val="Heading2"/>
      </w:pPr>
      <w:r>
        <w:t>2.1 Componenti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520"/>
        <w:gridCol w:w="6840"/>
      </w:tblGrid>
      <w:tr>
        <w:trPr>
          <w:tblHeader w:val="true"/>
          <w:cantSplit/>
        </w:trPr>
        <w:tc>
          <w:tcPr>
            <w:tcW w:type="dxa" w:w="2520"/>
            <w:shd w:fill="355E8B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8"/>
              </w:rPr>
              <w:t>Componente</w:t>
            </w:r>
          </w:p>
        </w:tc>
        <w:tc>
          <w:tcPr>
            <w:tcW w:type="dxa" w:w="6840"/>
            <w:shd w:fill="355E8B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8"/>
              </w:rPr>
              <w:t>Ruolo</w:t>
            </w:r>
          </w:p>
        </w:tc>
      </w:tr>
      <w:tr>
        <w:trPr>
          <w:cantSplit/>
        </w:trPr>
        <w:tc>
          <w:tcPr>
            <w:tcW w:type="dxa" w:w="25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212121"/>
                <w:sz w:val="18"/>
              </w:rPr>
              <w:t>Client Windows .NET</w:t>
            </w:r>
          </w:p>
        </w:tc>
        <w:tc>
          <w:tcPr>
            <w:tcW w:type="dxa" w:w="684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212121"/>
                <w:sz w:val="18"/>
              </w:rPr>
              <w:t>Interfaccia operativa ReaLTaiizor, validazioni, cache token, audit applicativo e orchestrazione Graph.</w:t>
            </w:r>
          </w:p>
        </w:tc>
      </w:tr>
      <w:tr>
        <w:trPr>
          <w:cantSplit/>
        </w:trPr>
        <w:tc>
          <w:tcPr>
            <w:tcW w:type="dxa" w:w="2520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212121"/>
                <w:sz w:val="18"/>
              </w:rPr>
              <w:t>Microsoft Entra ID</w:t>
            </w:r>
          </w:p>
        </w:tc>
        <w:tc>
          <w:tcPr>
            <w:tcW w:type="dxa" w:w="6840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212121"/>
                <w:sz w:val="18"/>
              </w:rPr>
              <w:t>Autenticazione single-tenant, consenso ai permessi delegati, gruppi di sicurezza e assegnazione utenti all’app.</w:t>
            </w:r>
          </w:p>
        </w:tc>
      </w:tr>
      <w:tr>
        <w:trPr>
          <w:cantSplit/>
        </w:trPr>
        <w:tc>
          <w:tcPr>
            <w:tcW w:type="dxa" w:w="25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212121"/>
                <w:sz w:val="18"/>
              </w:rPr>
              <w:t>Microsoft Graph</w:t>
            </w:r>
          </w:p>
        </w:tc>
        <w:tc>
          <w:tcPr>
            <w:tcW w:type="dxa" w:w="684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212121"/>
                <w:sz w:val="18"/>
              </w:rPr>
              <w:t>Accesso a identità, gruppi, SharePoint, file, permessi e invio email.</w:t>
            </w:r>
          </w:p>
        </w:tc>
      </w:tr>
      <w:tr>
        <w:trPr>
          <w:cantSplit/>
        </w:trPr>
        <w:tc>
          <w:tcPr>
            <w:tcW w:type="dxa" w:w="2520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212121"/>
                <w:sz w:val="18"/>
              </w:rPr>
              <w:t>SharePoint Online</w:t>
            </w:r>
          </w:p>
        </w:tc>
        <w:tc>
          <w:tcPr>
            <w:tcW w:type="dxa" w:w="6840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212121"/>
                <w:sz w:val="18"/>
              </w:rPr>
              <w:t>Sito Data Room, raccolta documenti, cartelle utilizzate per le condivisioni, metadati, permessi e liste di audit.</w:t>
            </w:r>
          </w:p>
        </w:tc>
      </w:tr>
      <w:tr>
        <w:trPr>
          <w:cantSplit/>
        </w:trPr>
        <w:tc>
          <w:tcPr>
            <w:tcW w:type="dxa" w:w="25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212121"/>
                <w:sz w:val="18"/>
              </w:rPr>
              <w:t>Exchange Online</w:t>
            </w:r>
          </w:p>
        </w:tc>
        <w:tc>
          <w:tcPr>
            <w:tcW w:type="dxa" w:w="684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212121"/>
                <w:sz w:val="18"/>
              </w:rPr>
              <w:t>Invio del collegamento alla condivisione dall’account dell’utente autenticato mediante Mail.Send delegato.</w:t>
            </w:r>
          </w:p>
        </w:tc>
      </w:tr>
      <w:tr>
        <w:trPr>
          <w:cantSplit/>
        </w:trPr>
        <w:tc>
          <w:tcPr>
            <w:tcW w:type="dxa" w:w="2520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212121"/>
                <w:sz w:val="18"/>
              </w:rPr>
              <w:t>File system locale</w:t>
            </w:r>
          </w:p>
        </w:tc>
        <w:tc>
          <w:tcPr>
            <w:tcW w:type="dxa" w:w="6840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212121"/>
                <w:sz w:val="18"/>
              </w:rPr>
              <w:t>Cache MSAL protetta e log diagnostici giornalieri nella cartella dell’app/profilo configurato.</w:t>
            </w:r>
          </w:p>
        </w:tc>
      </w:tr>
    </w:tbl>
    <w:p>
      <w:pPr>
        <w:spacing w:after="20"/>
      </w:pPr>
    </w:p>
    <w:p>
      <w:pPr>
        <w:pStyle w:val="Heading2"/>
      </w:pPr>
      <w:r>
        <w:t>2.2 Dati SharePoint richiesti</w:t>
      </w:r>
    </w:p>
    <w:p>
      <w:r>
        <w:t>La raccolta documenti predefinita del sito deve contenere queste colonne con nome visualizzato esatto: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088"/>
        <w:gridCol w:w="2232"/>
        <w:gridCol w:w="5040"/>
      </w:tblGrid>
      <w:tr>
        <w:trPr>
          <w:tblHeader w:val="true"/>
          <w:cantSplit/>
        </w:trPr>
        <w:tc>
          <w:tcPr>
            <w:tcW w:type="dxa" w:w="2088"/>
            <w:shd w:fill="355E8B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8"/>
              </w:rPr>
              <w:t>Nome visualizzato</w:t>
            </w:r>
          </w:p>
        </w:tc>
        <w:tc>
          <w:tcPr>
            <w:tcW w:type="dxa" w:w="2232"/>
            <w:shd w:fill="355E8B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8"/>
              </w:rPr>
              <w:t>Tipo consigliato</w:t>
            </w:r>
          </w:p>
        </w:tc>
        <w:tc>
          <w:tcPr>
            <w:tcW w:type="dxa" w:w="5040"/>
            <w:shd w:fill="355E8B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8"/>
              </w:rPr>
              <w:t>Uso</w:t>
            </w:r>
          </w:p>
        </w:tc>
      </w:tr>
      <w:tr>
        <w:trPr>
          <w:cantSplit/>
        </w:trPr>
        <w:tc>
          <w:tcPr>
            <w:tcW w:type="dxa" w:w="208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212121"/>
                <w:sz w:val="18"/>
              </w:rPr>
              <w:t>Richiesto da</w:t>
            </w:r>
          </w:p>
        </w:tc>
        <w:tc>
          <w:tcPr>
            <w:tcW w:type="dxa" w:w="223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212121"/>
                <w:sz w:val="18"/>
              </w:rPr>
              <w:t>Testo a riga singola</w:t>
            </w:r>
          </w:p>
        </w:tc>
        <w:tc>
          <w:tcPr>
            <w:tcW w:type="dxa" w:w="504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212121"/>
                <w:sz w:val="18"/>
              </w:rPr>
              <w:t>Nominativo o riferimento di chi ha richiesto la condivisione.</w:t>
            </w:r>
          </w:p>
        </w:tc>
      </w:tr>
      <w:tr>
        <w:trPr>
          <w:cantSplit/>
        </w:trPr>
        <w:tc>
          <w:tcPr>
            <w:tcW w:type="dxa" w:w="2088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212121"/>
                <w:sz w:val="18"/>
              </w:rPr>
              <w:t>Note</w:t>
            </w:r>
          </w:p>
        </w:tc>
        <w:tc>
          <w:tcPr>
            <w:tcW w:type="dxa" w:w="2232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212121"/>
                <w:sz w:val="18"/>
              </w:rPr>
              <w:t>Testo a più righe</w:t>
            </w:r>
          </w:p>
        </w:tc>
        <w:tc>
          <w:tcPr>
            <w:tcW w:type="dxa" w:w="5040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212121"/>
                <w:sz w:val="18"/>
              </w:rPr>
              <w:t>Informazioni operative sulla condivisione.</w:t>
            </w:r>
          </w:p>
        </w:tc>
      </w:tr>
      <w:tr>
        <w:trPr>
          <w:cantSplit/>
        </w:trPr>
        <w:tc>
          <w:tcPr>
            <w:tcW w:type="dxa" w:w="208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212121"/>
                <w:sz w:val="18"/>
              </w:rPr>
              <w:t>scadenza</w:t>
            </w:r>
          </w:p>
        </w:tc>
        <w:tc>
          <w:tcPr>
            <w:tcW w:type="dxa" w:w="223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212121"/>
                <w:sz w:val="18"/>
              </w:rPr>
              <w:t>Data e ora</w:t>
            </w:r>
          </w:p>
        </w:tc>
        <w:tc>
          <w:tcPr>
            <w:tcW w:type="dxa" w:w="504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212121"/>
                <w:sz w:val="18"/>
              </w:rPr>
              <w:t>Termine applicativo della condivisione esterna.</w:t>
            </w:r>
          </w:p>
        </w:tc>
      </w:tr>
    </w:tbl>
    <w:p>
      <w:pPr>
        <w:spacing w:after="20"/>
      </w:pPr>
    </w:p>
    <w:p>
      <w:pPr>
        <w:pStyle w:val="Heading2"/>
      </w:pPr>
      <w:r>
        <w:t>2.3 Liste di conformità create dall’app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952"/>
        <w:gridCol w:w="6408"/>
      </w:tblGrid>
      <w:tr>
        <w:trPr>
          <w:tblHeader w:val="true"/>
          <w:cantSplit/>
        </w:trPr>
        <w:tc>
          <w:tcPr>
            <w:tcW w:type="dxa" w:w="2952"/>
            <w:shd w:fill="355E8B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8"/>
              </w:rPr>
              <w:t>Lista nascosta</w:t>
            </w:r>
          </w:p>
        </w:tc>
        <w:tc>
          <w:tcPr>
            <w:tcW w:type="dxa" w:w="6408"/>
            <w:shd w:fill="355E8B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8"/>
              </w:rPr>
              <w:t>Contenuto principale</w:t>
            </w:r>
          </w:p>
        </w:tc>
      </w:tr>
      <w:tr>
        <w:trPr>
          <w:cantSplit/>
        </w:trPr>
        <w:tc>
          <w:tcPr>
            <w:tcW w:type="dxa" w:w="295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212121"/>
                <w:sz w:val="18"/>
              </w:rPr>
              <w:t>PresaVisioneDataRoom</w:t>
            </w:r>
          </w:p>
        </w:tc>
        <w:tc>
          <w:tcPr>
            <w:tcW w:type="dxa" w:w="640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212121"/>
                <w:sz w:val="18"/>
              </w:rPr>
              <w:t>Utente, email, versione disclaimer, data/ora, versione applicazione, esito e hash del testo.</w:t>
            </w:r>
          </w:p>
        </w:tc>
      </w:tr>
      <w:tr>
        <w:trPr>
          <w:cantSplit/>
        </w:trPr>
        <w:tc>
          <w:tcPr>
            <w:tcW w:type="dxa" w:w="2952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212121"/>
                <w:sz w:val="18"/>
              </w:rPr>
              <w:t>DataRoomActivityLog</w:t>
            </w:r>
          </w:p>
        </w:tc>
        <w:tc>
          <w:tcPr>
            <w:tcW w:type="dxa" w:w="6408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212121"/>
                <w:sz w:val="18"/>
              </w:rPr>
              <w:t>Data/ora, utente, operazione, condivisione, destinatario, esito, versione app e dettagli.</w:t>
            </w:r>
          </w:p>
        </w:tc>
      </w:tr>
    </w:tbl>
    <w:p>
      <w:pPr>
        <w:spacing w:after="20"/>
      </w:pPr>
    </w:p>
    <w:p>
      <w:pPr>
        <w:pStyle w:val="Callout"/>
        <w:shd w:fill="FFF4E5"/>
        <w:pBdr>
          <w:left w:val="single" w:sz="18" w:color="C9B76A"/>
        </w:pBdr>
      </w:pPr>
      <w:r>
        <w:rPr>
          <w:rFonts w:ascii="Aptos" w:hAnsi="Aptos"/>
          <w:b/>
          <w:color w:val="274766"/>
        </w:rPr>
        <w:t xml:space="preserve">Attenzione: “nascosta” non significa protetta  </w:t>
      </w:r>
      <w:r>
        <w:rPr>
          <w:rFonts w:ascii="Aptos" w:hAnsi="Aptos"/>
          <w:color w:val="212121"/>
        </w:rPr>
        <w:t>La proprietà hidden evita la normale visualizzazione nella navigazione, ma non sostituisce le autorizzazioni SharePoint. Applicare e collaudare permessi univoci alle liste, una retention approvata e controlli periodici sugli accessi. L’interfaccia limita il registro audit tramite gruppo Entra, ma questo controllo non è da solo una ACL del dato sottostante.</w:t>
      </w:r>
    </w:p>
    <w:p>
      <w:pPr>
        <w:pStyle w:val="Heading1"/>
      </w:pPr>
      <w:r>
        <w:t>3. Ruoli e gruppi Microsoft 365</w:t>
      </w:r>
    </w:p>
    <w:p>
      <w:r>
        <w:t>Adottare gruppi cloud di sicurezza con proprietari nominati, membership revisionata e descrizione dello scopo.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808"/>
        <w:gridCol w:w="1584"/>
        <w:gridCol w:w="4968"/>
      </w:tblGrid>
      <w:tr>
        <w:trPr>
          <w:tblHeader w:val="true"/>
          <w:cantSplit/>
        </w:trPr>
        <w:tc>
          <w:tcPr>
            <w:tcW w:type="dxa" w:w="2808"/>
            <w:shd w:fill="355E8B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8"/>
              </w:rPr>
              <w:t>Gruppo</w:t>
            </w:r>
          </w:p>
        </w:tc>
        <w:tc>
          <w:tcPr>
            <w:tcW w:type="dxa" w:w="1584"/>
            <w:shd w:fill="355E8B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8"/>
              </w:rPr>
              <w:t>Obbligo</w:t>
            </w:r>
          </w:p>
        </w:tc>
        <w:tc>
          <w:tcPr>
            <w:tcW w:type="dxa" w:w="4968"/>
            <w:shd w:fill="355E8B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8"/>
              </w:rPr>
              <w:t>Membri e assegnazioni</w:t>
            </w:r>
          </w:p>
        </w:tc>
      </w:tr>
      <w:tr>
        <w:trPr>
          <w:cantSplit/>
        </w:trPr>
        <w:tc>
          <w:tcPr>
            <w:tcW w:type="dxa" w:w="280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212121"/>
                <w:sz w:val="18"/>
              </w:rPr>
              <w:t>GSL-DataRoom-Users</w:t>
            </w:r>
          </w:p>
        </w:tc>
        <w:tc>
          <w:tcPr>
            <w:tcW w:type="dxa" w:w="158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212121"/>
                <w:sz w:val="18"/>
              </w:rPr>
              <w:t>Raccomandato</w:t>
            </w:r>
          </w:p>
        </w:tc>
        <w:tc>
          <w:tcPr>
            <w:tcW w:type="dxa" w:w="496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212121"/>
                <w:sz w:val="18"/>
              </w:rPr>
              <w:t>Segreteria e operatori. Assegnare all’Enterprise Application se “Assegnazione utenti obbligatoria” è attiva; concedere anche i diritti SharePoint necessari.</w:t>
            </w:r>
          </w:p>
        </w:tc>
      </w:tr>
      <w:tr>
        <w:trPr>
          <w:cantSplit/>
        </w:trPr>
        <w:tc>
          <w:tcPr>
            <w:tcW w:type="dxa" w:w="2808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212121"/>
                <w:sz w:val="18"/>
              </w:rPr>
              <w:t>GSL-DataRoom-Audit-Readers</w:t>
            </w:r>
          </w:p>
        </w:tc>
        <w:tc>
          <w:tcPr>
            <w:tcW w:type="dxa" w:w="1584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212121"/>
                <w:sz w:val="18"/>
              </w:rPr>
              <w:t>Necessario per audit UI</w:t>
            </w:r>
          </w:p>
        </w:tc>
        <w:tc>
          <w:tcPr>
            <w:tcW w:type="dxa" w:w="4968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212121"/>
                <w:sz w:val="18"/>
              </w:rPr>
              <w:t>Responsabili autorizzati a consultare audit e prese visione. Inserire il relativo Object ID in Security:AuditReadersGroupId. Devono anche poter usare l’app e leggere le liste di audit.</w:t>
            </w:r>
          </w:p>
        </w:tc>
      </w:tr>
      <w:tr>
        <w:trPr>
          <w:cantSplit/>
        </w:trPr>
        <w:tc>
          <w:tcPr>
            <w:tcW w:type="dxa" w:w="280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212121"/>
                <w:sz w:val="18"/>
              </w:rPr>
              <w:t>GSL-DataRoom-Administrators</w:t>
            </w:r>
          </w:p>
        </w:tc>
        <w:tc>
          <w:tcPr>
            <w:tcW w:type="dxa" w:w="158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212121"/>
                <w:sz w:val="18"/>
              </w:rPr>
              <w:t>Raccomandato</w:t>
            </w:r>
          </w:p>
        </w:tc>
        <w:tc>
          <w:tcPr>
            <w:tcW w:type="dxa" w:w="496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212121"/>
                <w:sz w:val="18"/>
              </w:rPr>
              <w:t>IT/SharePoint owner per bootstrap, colonne, liste, permessi, configurazione, supporto e verifiche periodiche.</w:t>
            </w:r>
          </w:p>
        </w:tc>
      </w:tr>
    </w:tbl>
    <w:p>
      <w:pPr>
        <w:spacing w:after="20"/>
      </w:pPr>
    </w:p>
    <w:p>
      <w:pPr>
        <w:pStyle w:val="Callout"/>
        <w:shd w:fill="D6E2EE"/>
        <w:pBdr>
          <w:left w:val="single" w:sz="18" w:color="355E8B"/>
        </w:pBdr>
      </w:pPr>
      <w:r>
        <w:rPr>
          <w:rFonts w:ascii="Aptos" w:hAnsi="Aptos"/>
          <w:b/>
          <w:color w:val="274766"/>
        </w:rPr>
        <w:t xml:space="preserve">Configurazione attuale  </w:t>
      </w:r>
      <w:r>
        <w:rPr>
          <w:rFonts w:ascii="Aptos" w:hAnsi="Aptos"/>
          <w:color w:val="212121"/>
        </w:rPr>
        <w:t>L’Object ID del gruppo audit configurato è 70defbb8-181e-4bc0-8385-99a782a8195e. Il nome visualizzato può cambiare senza modificare l’app; l’Object ID è il riferimento determinante.</w:t>
      </w:r>
    </w:p>
    <w:p>
      <w:pPr>
        <w:pStyle w:val="Heading2"/>
      </w:pPr>
      <w:r>
        <w:t>3.1 Creazione dei gruppi</w:t>
      </w:r>
    </w:p>
    <w:p>
      <w:pPr>
        <w:pStyle w:val="ListNumber"/>
      </w:pPr>
      <w:r>
        <w:t>Aprire Microsoft Entra admin center e accedere a Identity &gt; Groups &gt; All groups &gt; New group.</w:t>
      </w:r>
    </w:p>
    <w:p>
      <w:pPr>
        <w:pStyle w:val="ListNumber"/>
      </w:pPr>
      <w:r>
        <w:t>Scegliere Security come tipo, impostare nome, descrizione e almeno due owner ove possibile.</w:t>
      </w:r>
    </w:p>
    <w:p>
      <w:pPr>
        <w:pStyle w:val="ListNumber"/>
      </w:pPr>
      <w:r>
        <w:t>Aggiungere soltanto utenti interni nominativi; evitare account condivisi e membership non motivata.</w:t>
      </w:r>
    </w:p>
    <w:p>
      <w:pPr>
        <w:pStyle w:val="ListNumber"/>
      </w:pPr>
      <w:r>
        <w:t>Registrare owner, criterio di approvazione e frequenza di revisione nel sistema di gestione dello Studio.</w:t>
      </w:r>
    </w:p>
    <w:p>
      <w:pPr>
        <w:pStyle w:val="Heading2"/>
      </w:pPr>
      <w:r>
        <w:t>3.2 Limitare l’uso dell’app agli operatori</w:t>
      </w:r>
    </w:p>
    <w:p>
      <w:pPr>
        <w:pStyle w:val="ListNumber"/>
      </w:pPr>
      <w:r>
        <w:t>In Entra admin center aprire Identity &gt; Applications &gt; Enterprise applications e selezionare la Data Room.</w:t>
      </w:r>
    </w:p>
    <w:p>
      <w:pPr>
        <w:pStyle w:val="ListNumber"/>
      </w:pPr>
      <w:r>
        <w:t>In Properties impostare Assignment required? su Yes, se coerente con le licenze e le policy del tenant.</w:t>
      </w:r>
    </w:p>
    <w:p>
      <w:pPr>
        <w:pStyle w:val="ListNumber"/>
      </w:pPr>
      <w:r>
        <w:t>In Users and groups assegnare GSL-DataRoom-Users e GSL-DataRoom-Audit-Readers; in alternativa includere gli auditor anche nel gruppo utenti.</w:t>
      </w:r>
    </w:p>
    <w:p>
      <w:pPr>
        <w:pStyle w:val="ListNumber"/>
      </w:pPr>
      <w:r>
        <w:t>Verificare che l’assegnazione tramite gruppi sia supportata dalla licenza Entra e ricordare che i gruppi annidati non sono considerati nell’assegnazione dell’app.</w:t>
      </w:r>
    </w:p>
    <w:p>
      <w:pPr>
        <w:pStyle w:val="Heading2"/>
      </w:pPr>
      <w:r>
        <w:t>3.3 Permessi SharePoint degli operatori</w:t>
      </w:r>
    </w:p>
    <w:p>
      <w:r>
        <w:t>L’app usa permessi delegati: ogni operatore deve poter leggere e modificare la raccolta, creare cartelle, gestire gli elementi e condividere cartelle secondo le policy. È preferibile assegnare un gruppo dedicato a un livello SharePoint controllato, evitando Full Control agli utilizzatori ordinari. Il bootstrap iniziale deve essere eseguito da un owner o amministratore con facoltà di creare liste e colonne.</w:t>
      </w:r>
    </w:p>
    <w:p>
      <w:pPr>
        <w:pStyle w:val="Callout"/>
        <w:shd w:fill="FFF4E5"/>
        <w:pBdr>
          <w:left w:val="single" w:sz="18" w:color="C9B76A"/>
        </w:pBdr>
      </w:pPr>
      <w:r>
        <w:rPr>
          <w:rFonts w:ascii="Aptos" w:hAnsi="Aptos"/>
          <w:b/>
          <w:color w:val="274766"/>
        </w:rPr>
        <w:t xml:space="preserve">Condivisione esterna  </w:t>
      </w:r>
      <w:r>
        <w:rPr>
          <w:rFonts w:ascii="Aptos" w:hAnsi="Aptos"/>
          <w:color w:val="212121"/>
        </w:rPr>
        <w:t>Per dati professionali riservati usare destinatari autenticati. Evitare link “Chiunque/Anyone”; limitare a livello tenant la facoltà di condivisione esterna al solo gruppo degli operatori autorizzati.</w:t>
      </w:r>
    </w:p>
    <w:p>
      <w:r>
        <w:br w:type="page"/>
      </w:r>
    </w:p>
    <w:p>
      <w:pPr>
        <w:pStyle w:val="Heading1"/>
      </w:pPr>
      <w:r>
        <w:t>4. Registrazione dell’app in Microsoft Entra ID</w:t>
      </w:r>
    </w:p>
    <w:p>
      <w:pPr>
        <w:pStyle w:val="Heading2"/>
      </w:pPr>
      <w:r>
        <w:t>4.1 Creazione</w:t>
      </w:r>
    </w:p>
    <w:p>
      <w:pPr>
        <w:pStyle w:val="ListNumber"/>
      </w:pPr>
      <w:r>
        <w:t>Accedere a Microsoft Entra admin center con un ruolo idoneo (almeno Application Administrator o Cloud Application Administrator per la configurazione; usare un ruolo autorizzato al consenso per il passaggio dedicato).</w:t>
      </w:r>
    </w:p>
    <w:p>
      <w:pPr>
        <w:pStyle w:val="ListNumber"/>
      </w:pPr>
      <w:r>
        <w:t>Aprire Identity &gt; Applications &gt; App registrations &gt; New registration.</w:t>
      </w:r>
    </w:p>
    <w:p>
      <w:pPr>
        <w:pStyle w:val="ListNumber"/>
      </w:pPr>
      <w:r>
        <w:t>Impostare un nome riconoscibile, ad esempio “Giovanardi Studio Legale Data Room”.</w:t>
      </w:r>
    </w:p>
    <w:p>
      <w:pPr>
        <w:pStyle w:val="ListNumber"/>
      </w:pPr>
      <w:r>
        <w:t>Selezionare Accounts in this organizational directory only (single tenant).</w:t>
      </w:r>
    </w:p>
    <w:p>
      <w:pPr>
        <w:pStyle w:val="ListNumber"/>
      </w:pPr>
      <w:r>
        <w:t>Registrare l’app e annotare Application (client) ID e Directory (tenant) ID.</w:t>
      </w:r>
    </w:p>
    <w:p>
      <w:pPr>
        <w:pStyle w:val="Heading2"/>
      </w:pPr>
      <w:r>
        <w:t>4.2 Piattaforma e redirect URI</w:t>
      </w:r>
    </w:p>
    <w:p>
      <w:pPr>
        <w:pStyle w:val="ListNumber"/>
      </w:pPr>
      <w:r>
        <w:t>Aprire Authentication &gt; Add a platform &gt; Mobile and desktop applications.</w:t>
      </w:r>
    </w:p>
    <w:p>
      <w:pPr>
        <w:pStyle w:val="ListNumber"/>
      </w:pPr>
      <w:r>
        <w:t>Configurare il redirect URI desktop effettivamente usato dalla build MSAL e mantenerlo identico tra portale e applicazione.</w:t>
      </w:r>
    </w:p>
    <w:p>
      <w:pPr>
        <w:pStyle w:val="ListNumber"/>
      </w:pPr>
      <w:r>
        <w:t>Non creare client secret: questa è un’app desktop public client con autenticazione interattiva delegata.</w:t>
      </w:r>
    </w:p>
    <w:p>
      <w:pPr>
        <w:pStyle w:val="ListNumber"/>
      </w:pPr>
      <w:r>
        <w:t>Non abilitare implicit grant. Abilitare flussi public client aggiuntivi soltanto se richiesti da un metodo di autenticazione realmente adottato e approvato.</w:t>
      </w:r>
    </w:p>
    <w:p>
      <w:pPr>
        <w:pStyle w:val="Callout"/>
        <w:shd w:fill="FFF4E5"/>
        <w:pBdr>
          <w:left w:val="single" w:sz="18" w:color="C9B76A"/>
        </w:pBdr>
      </w:pPr>
      <w:r>
        <w:rPr>
          <w:rFonts w:ascii="Aptos" w:hAnsi="Aptos"/>
          <w:b/>
          <w:color w:val="274766"/>
        </w:rPr>
        <w:t xml:space="preserve">Nota tecnica sulla build corrente  </w:t>
      </w:r>
      <w:r>
        <w:rPr>
          <w:rFonts w:ascii="Aptos" w:hAnsi="Aptos"/>
          <w:color w:val="212121"/>
        </w:rPr>
        <w:t>appsettings.json contiene RedirectUri, ma AuthenticationService usa WithDefaultRedirectUri() e non legge quel valore. Prima della distribuzione definitiva occorre allineare codice, configurazione e portale oppure documentare formalmente il redirect predefinito effettivo. Non affidarsi al solo valore presente nel file JSON.</w:t>
      </w:r>
    </w:p>
    <w:p>
      <w:pPr>
        <w:pStyle w:val="Heading2"/>
      </w:pPr>
      <w:r>
        <w:t>4.3 Permessi Microsoft Graph richiesti</w:t>
      </w:r>
    </w:p>
    <w:p>
      <w:r>
        <w:t>Aggiungere esclusivamente Delegated permissions. La build corrente richiede questi scope: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232"/>
        <w:gridCol w:w="4968"/>
        <w:gridCol w:w="2160"/>
      </w:tblGrid>
      <w:tr>
        <w:trPr>
          <w:tblHeader w:val="true"/>
          <w:cantSplit/>
        </w:trPr>
        <w:tc>
          <w:tcPr>
            <w:tcW w:type="dxa" w:w="2232"/>
            <w:shd w:fill="355E8B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8"/>
              </w:rPr>
              <w:t>Permesso</w:t>
            </w:r>
          </w:p>
        </w:tc>
        <w:tc>
          <w:tcPr>
            <w:tcW w:type="dxa" w:w="4968"/>
            <w:shd w:fill="355E8B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8"/>
              </w:rPr>
              <w:t>Uso nell’app</w:t>
            </w:r>
          </w:p>
        </w:tc>
        <w:tc>
          <w:tcPr>
            <w:tcW w:type="dxa" w:w="2160"/>
            <w:shd w:fill="355E8B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8"/>
              </w:rPr>
              <w:t>Consenso admin secondo Microsoft</w:t>
            </w:r>
          </w:p>
        </w:tc>
      </w:tr>
      <w:tr>
        <w:trPr>
          <w:cantSplit/>
        </w:trPr>
        <w:tc>
          <w:tcPr>
            <w:tcW w:type="dxa" w:w="223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212121"/>
                <w:sz w:val="18"/>
              </w:rPr>
              <w:t>User.Read</w:t>
            </w:r>
          </w:p>
        </w:tc>
        <w:tc>
          <w:tcPr>
            <w:tcW w:type="dxa" w:w="496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212121"/>
                <w:sz w:val="18"/>
              </w:rPr>
              <w:t>Accesso e lettura del profilo dell’utente connesso.</w:t>
            </w:r>
          </w:p>
        </w:tc>
        <w:tc>
          <w:tcPr>
            <w:tcW w:type="dxa" w:w="21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212121"/>
                <w:sz w:val="18"/>
              </w:rPr>
              <w:t>No</w:t>
            </w:r>
          </w:p>
        </w:tc>
      </w:tr>
      <w:tr>
        <w:trPr>
          <w:cantSplit/>
        </w:trPr>
        <w:tc>
          <w:tcPr>
            <w:tcW w:type="dxa" w:w="2232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212121"/>
                <w:sz w:val="18"/>
              </w:rPr>
              <w:t>Files.ReadWrite.All</w:t>
            </w:r>
          </w:p>
        </w:tc>
        <w:tc>
          <w:tcPr>
            <w:tcW w:type="dxa" w:w="4968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212121"/>
                <w:sz w:val="18"/>
              </w:rPr>
              <w:t>Cartelle, file e inviti sui drive accessibili all’utente.</w:t>
            </w:r>
          </w:p>
        </w:tc>
        <w:tc>
          <w:tcPr>
            <w:tcW w:type="dxa" w:w="2160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212121"/>
                <w:sz w:val="18"/>
              </w:rPr>
              <w:t>No, delegato</w:t>
            </w:r>
          </w:p>
        </w:tc>
      </w:tr>
      <w:tr>
        <w:trPr>
          <w:cantSplit/>
        </w:trPr>
        <w:tc>
          <w:tcPr>
            <w:tcW w:type="dxa" w:w="223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212121"/>
                <w:sz w:val="18"/>
              </w:rPr>
              <w:t>Sites.ReadWrite.All</w:t>
            </w:r>
          </w:p>
        </w:tc>
        <w:tc>
          <w:tcPr>
            <w:tcW w:type="dxa" w:w="496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212121"/>
                <w:sz w:val="18"/>
              </w:rPr>
              <w:t>Lettura e modifica di documenti, elementi e metadati SharePoint.</w:t>
            </w:r>
          </w:p>
        </w:tc>
        <w:tc>
          <w:tcPr>
            <w:tcW w:type="dxa" w:w="21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212121"/>
                <w:sz w:val="18"/>
              </w:rPr>
              <w:t>No, delegato</w:t>
            </w:r>
          </w:p>
        </w:tc>
      </w:tr>
      <w:tr>
        <w:trPr>
          <w:cantSplit/>
        </w:trPr>
        <w:tc>
          <w:tcPr>
            <w:tcW w:type="dxa" w:w="2232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212121"/>
                <w:sz w:val="18"/>
              </w:rPr>
              <w:t>Sites.Manage.All</w:t>
            </w:r>
          </w:p>
        </w:tc>
        <w:tc>
          <w:tcPr>
            <w:tcW w:type="dxa" w:w="4968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212121"/>
                <w:sz w:val="18"/>
              </w:rPr>
              <w:t>Creazione/gestione delle liste nascoste e delle relative colonne.</w:t>
            </w:r>
          </w:p>
        </w:tc>
        <w:tc>
          <w:tcPr>
            <w:tcW w:type="dxa" w:w="2160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212121"/>
                <w:sz w:val="18"/>
              </w:rPr>
              <w:t>No, delegato</w:t>
            </w:r>
          </w:p>
        </w:tc>
      </w:tr>
      <w:tr>
        <w:trPr>
          <w:cantSplit/>
        </w:trPr>
        <w:tc>
          <w:tcPr>
            <w:tcW w:type="dxa" w:w="223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212121"/>
                <w:sz w:val="18"/>
              </w:rPr>
              <w:t>GroupMember.Read.All</w:t>
            </w:r>
          </w:p>
        </w:tc>
        <w:tc>
          <w:tcPr>
            <w:tcW w:type="dxa" w:w="496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212121"/>
                <w:sz w:val="18"/>
              </w:rPr>
              <w:t>Verifica appartenenza al gruppo autorizzato all’audit.</w:t>
            </w:r>
          </w:p>
        </w:tc>
        <w:tc>
          <w:tcPr>
            <w:tcW w:type="dxa" w:w="21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212121"/>
                <w:sz w:val="18"/>
              </w:rPr>
              <w:t>Sì</w:t>
            </w:r>
          </w:p>
        </w:tc>
      </w:tr>
      <w:tr>
        <w:trPr>
          <w:cantSplit/>
        </w:trPr>
        <w:tc>
          <w:tcPr>
            <w:tcW w:type="dxa" w:w="2232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212121"/>
                <w:sz w:val="18"/>
              </w:rPr>
              <w:t>Mail.Send</w:t>
            </w:r>
          </w:p>
        </w:tc>
        <w:tc>
          <w:tcPr>
            <w:tcW w:type="dxa" w:w="4968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212121"/>
                <w:sz w:val="18"/>
              </w:rPr>
              <w:t>Invio del link alla condivisione come utente autenticato; copia in Posta inviata.</w:t>
            </w:r>
          </w:p>
        </w:tc>
        <w:tc>
          <w:tcPr>
            <w:tcW w:type="dxa" w:w="2160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212121"/>
                <w:sz w:val="18"/>
              </w:rPr>
              <w:t>No, delegato</w:t>
            </w:r>
          </w:p>
        </w:tc>
      </w:tr>
    </w:tbl>
    <w:p>
      <w:pPr>
        <w:spacing w:after="20"/>
      </w:pPr>
    </w:p>
    <w:p>
      <w:pPr>
        <w:pStyle w:val="Callout"/>
        <w:shd w:fill="D6E2EE"/>
        <w:pBdr>
          <w:left w:val="single" w:sz="18" w:color="355E8B"/>
        </w:pBdr>
      </w:pPr>
      <w:r>
        <w:rPr>
          <w:rFonts w:ascii="Aptos" w:hAnsi="Aptos"/>
          <w:b/>
          <w:color w:val="274766"/>
        </w:rPr>
        <w:t xml:space="preserve">Consenso centralizzato raccomandato  </w:t>
      </w:r>
      <w:r>
        <w:rPr>
          <w:rFonts w:ascii="Aptos" w:hAnsi="Aptos"/>
          <w:color w:val="212121"/>
        </w:rPr>
        <w:t>Anche quando Microsoft non impone il consenso amministrativo per uno scope delegato, concedere il consenso tenant all’intero set approvato evita richieste individuali e rende la configurazione controllabile. GroupMember.Read.All richiede comunque consenso amministrativo.</w:t>
      </w:r>
    </w:p>
    <w:p>
      <w:pPr>
        <w:pStyle w:val="Heading2"/>
      </w:pPr>
      <w:r>
        <w:t>4.4 Procedura di assegnazione dei permessi</w:t>
      </w:r>
    </w:p>
    <w:p>
      <w:pPr>
        <w:pStyle w:val="ListNumber"/>
      </w:pPr>
      <w:r>
        <w:t>Nella registrazione dell’app aprire API permissions &gt; Add a permission.</w:t>
      </w:r>
    </w:p>
    <w:p>
      <w:pPr>
        <w:pStyle w:val="ListNumber"/>
      </w:pPr>
      <w:r>
        <w:t>Selezionare Microsoft Graph &gt; Delegated permissions.</w:t>
      </w:r>
    </w:p>
    <w:p>
      <w:pPr>
        <w:pStyle w:val="ListNumber"/>
      </w:pPr>
      <w:r>
        <w:t>Cercare e selezionare uno alla volta i sei permessi elencati sopra; scegliere Add permissions.</w:t>
      </w:r>
    </w:p>
    <w:p>
      <w:pPr>
        <w:pStyle w:val="ListNumber"/>
      </w:pPr>
      <w:r>
        <w:t>Verificare che non siano state aggiunte Application permissions omonime.</w:t>
      </w:r>
    </w:p>
    <w:p>
      <w:pPr>
        <w:pStyle w:val="ListNumber"/>
      </w:pPr>
      <w:r>
        <w:t>Registrare la modifica nel change management e farla approvare dal responsabile previsto.</w:t>
      </w:r>
    </w:p>
    <w:p>
      <w:pPr>
        <w:pStyle w:val="Heading2"/>
      </w:pPr>
      <w:r>
        <w:t>4.5 Concedere il consenso amministrativo</w:t>
      </w:r>
    </w:p>
    <w:p>
      <w:pPr>
        <w:pStyle w:val="ListNumber"/>
      </w:pPr>
      <w:r>
        <w:t>Aprire API permissions nella registrazione dell’app.</w:t>
      </w:r>
    </w:p>
    <w:p>
      <w:pPr>
        <w:pStyle w:val="ListNumber"/>
      </w:pPr>
      <w:r>
        <w:t>Selezionare Grant admin consent for &lt;tenant&gt;.</w:t>
      </w:r>
    </w:p>
    <w:p>
      <w:pPr>
        <w:pStyle w:val="ListNumber"/>
      </w:pPr>
      <w:r>
        <w:t>Confermare l’operazione e aggiornare la pagina.</w:t>
      </w:r>
    </w:p>
    <w:p>
      <w:pPr>
        <w:pStyle w:val="ListNumber"/>
      </w:pPr>
      <w:r>
        <w:t>Verificare che lo stato di ogni permesso mostri Granted for &lt;tenant&gt;.</w:t>
      </w:r>
    </w:p>
    <w:p>
      <w:pPr>
        <w:pStyle w:val="ListNumber"/>
      </w:pPr>
      <w:r>
        <w:t>Eseguire un nuovo accesso nell’app: un nuovo scope può invalidare il token in cache e richiedere interazione/MFA.</w:t>
      </w:r>
    </w:p>
    <w:p>
      <w:pPr>
        <w:pStyle w:val="Callout"/>
        <w:shd w:fill="FFF4E5"/>
        <w:pBdr>
          <w:left w:val="single" w:sz="18" w:color="C9B76A"/>
        </w:pBdr>
      </w:pPr>
      <w:r>
        <w:rPr>
          <w:rFonts w:ascii="Aptos" w:hAnsi="Aptos"/>
          <w:b/>
          <w:color w:val="274766"/>
        </w:rPr>
        <w:t xml:space="preserve">Ruoli amministrativi  </w:t>
      </w:r>
      <w:r>
        <w:rPr>
          <w:rFonts w:ascii="Aptos" w:hAnsi="Aptos"/>
          <w:color w:val="212121"/>
        </w:rPr>
        <w:t>La possibilità di concedere il consenso dipende dal permesso e dai ruoli Entra. Applicare il minimo privilegio, usare account amministrativi separati e rispettare PIM/approvazioni se previsti.</w:t>
      </w:r>
    </w:p>
    <w:p>
      <w:pPr>
        <w:pStyle w:val="Heading2"/>
      </w:pPr>
      <w:r>
        <w:t>4.6 Verifica dell’Enterprise Application</w:t>
      </w:r>
    </w:p>
    <w:p>
      <w:pPr>
        <w:pStyle w:val="ListBullet"/>
      </w:pPr>
      <w:r>
        <w:t>Controllare che il service principal sia abilitato all’accesso.</w:t>
      </w:r>
    </w:p>
    <w:p>
      <w:pPr>
        <w:pStyle w:val="ListBullet"/>
      </w:pPr>
      <w:r>
        <w:t>Se Assignment required è Yes, verificare le assegnazioni dei gruppi utenti e audit.</w:t>
      </w:r>
    </w:p>
    <w:p>
      <w:pPr>
        <w:pStyle w:val="ListBullet"/>
      </w:pPr>
      <w:r>
        <w:t>Applicare Conditional Access, MFA, criteri di rischio e device compliance secondo le policy dello Studio.</w:t>
      </w:r>
    </w:p>
    <w:p>
      <w:pPr>
        <w:pStyle w:val="ListBullet"/>
      </w:pPr>
      <w:r>
        <w:t>Verificare periodicamente permessi, owner, consent grants e sign-in logs.</w:t>
      </w:r>
    </w:p>
    <w:p>
      <w:r>
        <w:br w:type="page"/>
      </w:r>
    </w:p>
    <w:p>
      <w:pPr>
        <w:pStyle w:val="Heading1"/>
      </w:pPr>
      <w:r>
        <w:t>5. Configurazione SharePoint Online</w:t>
      </w:r>
    </w:p>
    <w:p>
      <w:pPr>
        <w:pStyle w:val="Heading2"/>
      </w:pPr>
      <w:r>
        <w:t>5.1 Sito e raccolta documenti</w:t>
      </w:r>
    </w:p>
    <w:p>
      <w:pPr>
        <w:pStyle w:val="ListNumber"/>
      </w:pPr>
      <w:r>
        <w:t>Predisporre un sito dedicato, preferibilmente privato, con owner amministrativi nominati.</w:t>
      </w:r>
    </w:p>
    <w:p>
      <w:pPr>
        <w:pStyle w:val="ListNumber"/>
      </w:pPr>
      <w:r>
        <w:t>Configurare la raccolta documenti utilizzata come raccolta predefinita dal sito oppure verificare che l’app individui quella corretta.</w:t>
      </w:r>
    </w:p>
    <w:p>
      <w:pPr>
        <w:pStyle w:val="ListNumber"/>
      </w:pPr>
      <w:r>
        <w:t>Creare le colonne Richiesto da, Note e scadenza con i tipi indicati nel capitolo 2.</w:t>
      </w:r>
    </w:p>
    <w:p>
      <w:pPr>
        <w:pStyle w:val="ListNumber"/>
      </w:pPr>
      <w:r>
        <w:t>Assegnare al gruppo operatori i soli diritti necessari; evitare autorizzazioni generalizzate come Everyone except external users.</w:t>
      </w:r>
    </w:p>
    <w:p>
      <w:pPr>
        <w:pStyle w:val="ListNumber"/>
      </w:pPr>
      <w:r>
        <w:t>Impostare sharing esterno compatibile con ospiti autenticati e con le policy tenant/sito.</w:t>
      </w:r>
    </w:p>
    <w:p>
      <w:pPr>
        <w:pStyle w:val="Heading2"/>
      </w:pPr>
      <w:r>
        <w:t>5.2 Bootstrap delle liste audit</w:t>
      </w:r>
    </w:p>
    <w:p>
      <w:r>
        <w:t>Al primo collegamento l’app cerca le liste PresaVisioneDataRoom e DataRoomActivityLog. Se non esistono le crea con hidden=true; se esistono verifica e aggiunge le colonne mancanti. Eseguire il primo avvio con un account owner/amministratore SharePoint autorizzato.</w:t>
      </w:r>
    </w:p>
    <w:p>
      <w:pPr>
        <w:pStyle w:val="Callout"/>
        <w:shd w:fill="D6E2EE"/>
        <w:pBdr>
          <w:left w:val="single" w:sz="18" w:color="355E8B"/>
        </w:pBdr>
      </w:pPr>
      <w:r>
        <w:rPr>
          <w:rFonts w:ascii="Aptos" w:hAnsi="Aptos"/>
          <w:b/>
          <w:color w:val="274766"/>
        </w:rPr>
        <w:t xml:space="preserve">Dopo il bootstrap  </w:t>
      </w:r>
      <w:r>
        <w:rPr>
          <w:rFonts w:ascii="Aptos" w:hAnsi="Aptos"/>
          <w:color w:val="212121"/>
        </w:rPr>
        <w:t>Rivedere le autorizzazioni delle due liste. Gli operatori devono poter registrare le attività necessarie; gli auditor devono poter leggere ed esportare; gli altri utenti non devono ottenere capacità di consultazione non necessarie. Collaudare l’app dopo ogni modifica ai permessi univoci.</w:t>
      </w:r>
    </w:p>
    <w:p>
      <w:pPr>
        <w:pStyle w:val="Heading2"/>
      </w:pPr>
      <w:r>
        <w:t>5.3 Retention, versioning e protezione</w:t>
      </w:r>
    </w:p>
    <w:p>
      <w:pPr>
        <w:pStyle w:val="ListBullet"/>
      </w:pPr>
      <w:r>
        <w:t>Definire una retention approvata per audit, prese visione, documenti di condivisione e log locali.</w:t>
      </w:r>
    </w:p>
    <w:p>
      <w:pPr>
        <w:pStyle w:val="ListBullet"/>
      </w:pPr>
      <w:r>
        <w:t>Valutare versioning, cestino, etichette di conservazione e sensitivity label in base alla classificazione dei dati.</w:t>
      </w:r>
    </w:p>
    <w:p>
      <w:pPr>
        <w:pStyle w:val="ListBullet"/>
      </w:pPr>
      <w:r>
        <w:t>Verificare periodicamente condivisioni esterne, guest inattivi e access review.</w:t>
      </w:r>
    </w:p>
    <w:p>
      <w:pPr>
        <w:pStyle w:val="ListBullet"/>
      </w:pPr>
      <w:r>
        <w:t>Non usare la proprietà hidden delle liste come controllo di sicurezza o requisito di segregazione.</w:t>
      </w:r>
    </w:p>
    <w:p>
      <w:pPr>
        <w:pStyle w:val="Heading1"/>
      </w:pPr>
      <w:r>
        <w:t>6. File appsettings.json</w:t>
      </w:r>
    </w:p>
    <w:p>
      <w:r>
        <w:t>Il file è distribuito accanto all’eseguibile e viene caricato all’avvio. Tenant ID e Client ID non sono segreti, ma il file deve essere protetto da modifiche non autorizzate.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096"/>
        <w:gridCol w:w="6264"/>
      </w:tblGrid>
      <w:tr>
        <w:trPr>
          <w:tblHeader w:val="true"/>
          <w:cantSplit/>
        </w:trPr>
        <w:tc>
          <w:tcPr>
            <w:tcW w:type="dxa" w:w="3096"/>
            <w:shd w:fill="355E8B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8"/>
              </w:rPr>
              <w:t>Chiave</w:t>
            </w:r>
          </w:p>
        </w:tc>
        <w:tc>
          <w:tcPr>
            <w:tcW w:type="dxa" w:w="6264"/>
            <w:shd w:fill="355E8B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8"/>
              </w:rPr>
              <w:t>Valore attuale / significato</w:t>
            </w:r>
          </w:p>
        </w:tc>
      </w:tr>
      <w:tr>
        <w:trPr>
          <w:cantSplit/>
        </w:trPr>
        <w:tc>
          <w:tcPr>
            <w:tcW w:type="dxa" w:w="309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212121"/>
                <w:sz w:val="18"/>
              </w:rPr>
              <w:t>AzureAd:TenantId</w:t>
            </w:r>
          </w:p>
        </w:tc>
        <w:tc>
          <w:tcPr>
            <w:tcW w:type="dxa" w:w="626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212121"/>
                <w:sz w:val="18"/>
              </w:rPr>
              <w:t>2196834a-d9d2-4322-bff5-97bd36c1ace5</w:t>
            </w:r>
          </w:p>
        </w:tc>
      </w:tr>
      <w:tr>
        <w:trPr>
          <w:cantSplit/>
        </w:trPr>
        <w:tc>
          <w:tcPr>
            <w:tcW w:type="dxa" w:w="3096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212121"/>
                <w:sz w:val="18"/>
              </w:rPr>
              <w:t>AzureAd:ClientId</w:t>
            </w:r>
          </w:p>
        </w:tc>
        <w:tc>
          <w:tcPr>
            <w:tcW w:type="dxa" w:w="6264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212121"/>
                <w:sz w:val="18"/>
              </w:rPr>
              <w:t>a078280c-29cd-45c7-96ad-c8dc41764d0c</w:t>
            </w:r>
          </w:p>
        </w:tc>
      </w:tr>
      <w:tr>
        <w:trPr>
          <w:cantSplit/>
        </w:trPr>
        <w:tc>
          <w:tcPr>
            <w:tcW w:type="dxa" w:w="309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212121"/>
                <w:sz w:val="18"/>
              </w:rPr>
              <w:t>AzureAd:RedirectUri</w:t>
            </w:r>
          </w:p>
        </w:tc>
        <w:tc>
          <w:tcPr>
            <w:tcW w:type="dxa" w:w="626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212121"/>
                <w:sz w:val="18"/>
              </w:rPr>
              <w:t>msala078280c-29cd-45c7-96ad-c8dc41764d0c://auth (presente nel file, ma non consumato dalla build corrente)</w:t>
            </w:r>
          </w:p>
        </w:tc>
      </w:tr>
      <w:tr>
        <w:trPr>
          <w:cantSplit/>
        </w:trPr>
        <w:tc>
          <w:tcPr>
            <w:tcW w:type="dxa" w:w="3096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212121"/>
                <w:sz w:val="18"/>
              </w:rPr>
              <w:t>SharePoint:SiteUrl</w:t>
            </w:r>
          </w:p>
        </w:tc>
        <w:tc>
          <w:tcPr>
            <w:tcW w:type="dxa" w:w="6264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212121"/>
                <w:sz w:val="18"/>
              </w:rPr>
              <w:t>https://giovanardieassociatistud.sharepoint.com/sites/GSLDataRoom</w:t>
            </w:r>
          </w:p>
        </w:tc>
      </w:tr>
      <w:tr>
        <w:trPr>
          <w:cantSplit/>
        </w:trPr>
        <w:tc>
          <w:tcPr>
            <w:tcW w:type="dxa" w:w="309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212121"/>
                <w:sz w:val="18"/>
              </w:rPr>
              <w:t>Security:AuditReadersGroupId</w:t>
            </w:r>
          </w:p>
        </w:tc>
        <w:tc>
          <w:tcPr>
            <w:tcW w:type="dxa" w:w="626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212121"/>
                <w:sz w:val="18"/>
              </w:rPr>
              <w:t>70defbb8-181e-4bc0-8385-99a782a8195e</w:t>
            </w:r>
          </w:p>
        </w:tc>
      </w:tr>
      <w:tr>
        <w:trPr>
          <w:cantSplit/>
        </w:trPr>
        <w:tc>
          <w:tcPr>
            <w:tcW w:type="dxa" w:w="3096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212121"/>
                <w:sz w:val="18"/>
              </w:rPr>
              <w:t>Branding</w:t>
            </w:r>
          </w:p>
        </w:tc>
        <w:tc>
          <w:tcPr>
            <w:tcW w:type="dxa" w:w="6264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212121"/>
                <w:sz w:val="18"/>
              </w:rPr>
              <w:t>Nome studio, nome prodotto, percorso logo e certificazioni mostrate nell’app.</w:t>
            </w:r>
          </w:p>
        </w:tc>
      </w:tr>
      <w:tr>
        <w:trPr>
          <w:cantSplit/>
        </w:trPr>
        <w:tc>
          <w:tcPr>
            <w:tcW w:type="dxa" w:w="309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212121"/>
                <w:sz w:val="18"/>
              </w:rPr>
              <w:t>Theme</w:t>
            </w:r>
          </w:p>
        </w:tc>
        <w:tc>
          <w:tcPr>
            <w:tcW w:type="dxa" w:w="626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212121"/>
                <w:sz w:val="18"/>
              </w:rPr>
              <w:t>Colori istituzionali e colori funzionali, centralizzati per il futuro rebranding.</w:t>
            </w:r>
          </w:p>
        </w:tc>
      </w:tr>
      <w:tr>
        <w:trPr>
          <w:cantSplit/>
        </w:trPr>
        <w:tc>
          <w:tcPr>
            <w:tcW w:type="dxa" w:w="3096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212121"/>
                <w:sz w:val="18"/>
              </w:rPr>
              <w:t>Logging:Path</w:t>
            </w:r>
          </w:p>
        </w:tc>
        <w:tc>
          <w:tcPr>
            <w:tcW w:type="dxa" w:w="6264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212121"/>
                <w:sz w:val="18"/>
              </w:rPr>
              <w:t>Percorso dichiarato per i log; la configurazione corrente del programma scrive in Logs/log-.txt.</w:t>
            </w:r>
          </w:p>
        </w:tc>
      </w:tr>
    </w:tbl>
    <w:p>
      <w:pPr>
        <w:spacing w:after="20"/>
      </w:pPr>
    </w:p>
    <w:p>
      <w:pPr>
        <w:pStyle w:val="Callout"/>
        <w:shd w:fill="D6E2EE"/>
        <w:pBdr>
          <w:left w:val="single" w:sz="18" w:color="355E8B"/>
        </w:pBdr>
      </w:pPr>
      <w:r>
        <w:rPr>
          <w:rFonts w:ascii="Aptos" w:hAnsi="Aptos"/>
          <w:b/>
          <w:color w:val="274766"/>
        </w:rPr>
        <w:t xml:space="preserve">Gestione del file  </w:t>
      </w:r>
      <w:r>
        <w:rPr>
          <w:rFonts w:ascii="Aptos" w:hAnsi="Aptos"/>
          <w:color w:val="212121"/>
        </w:rPr>
        <w:t>Conservare un master controllato, distribuire mediante canale aziendale, limitare i diritti di scrittura agli amministratori, validare gli hash del pacchetto e documentare ogni variazione di tenant, sito, gruppo audit, branding o colori.</w:t>
      </w:r>
    </w:p>
    <w:p>
      <w:pPr>
        <w:pStyle w:val="Heading1"/>
      </w:pPr>
      <w:r>
        <w:t>7. Collaudo iniziale</w:t>
      </w:r>
    </w:p>
    <w:p>
      <w:pPr>
        <w:pStyle w:val="ListBullet"/>
      </w:pPr>
      <w:r>
        <w:t>☐ Accesso silenzioso riuscito dopo il primo login; richiesta interattiva corretta in assenza di cache.</w:t>
      </w:r>
    </w:p>
    <w:p>
      <w:pPr>
        <w:pStyle w:val="ListBullet"/>
      </w:pPr>
      <w:r>
        <w:t>☐ Indicatore Microsoft 365 verde e profilo utente corretto.</w:t>
      </w:r>
    </w:p>
    <w:p>
      <w:pPr>
        <w:pStyle w:val="ListBullet"/>
      </w:pPr>
      <w:r>
        <w:t>☐ Caricamento delle condivisioni e lettura delle tre colonne SharePoint.</w:t>
      </w:r>
    </w:p>
    <w:p>
      <w:pPr>
        <w:pStyle w:val="ListBullet"/>
      </w:pPr>
      <w:r>
        <w:t>☐ Creazione condivisione con nome duplicato e numerazione progressiva.</w:t>
      </w:r>
    </w:p>
    <w:p>
      <w:pPr>
        <w:pStyle w:val="ListBullet"/>
      </w:pPr>
      <w:r>
        <w:t>☐ Invito interno ed esterno in Lettura/Scrittura con email ricevuta.</w:t>
      </w:r>
    </w:p>
    <w:p>
      <w:pPr>
        <w:pStyle w:val="ListBullet"/>
      </w:pPr>
      <w:r>
        <w:t>☐ Modifica ruolo e rimozione singola con conferma e audit.</w:t>
      </w:r>
    </w:p>
    <w:p>
      <w:pPr>
        <w:pStyle w:val="ListBullet"/>
      </w:pPr>
      <w:r>
        <w:t>☐ Invio link ai soli utenti già autorizzati e verifica della copia in Posta inviata.</w:t>
      </w:r>
    </w:p>
    <w:p>
      <w:pPr>
        <w:pStyle w:val="ListBullet"/>
      </w:pPr>
      <w:r>
        <w:t>☐ Condivisione scaduta: revoca dei soli esterni; utenti interni invariati.</w:t>
      </w:r>
    </w:p>
    <w:p>
      <w:pPr>
        <w:pStyle w:val="ListBullet"/>
      </w:pPr>
      <w:r>
        <w:t>☐ Disclaimer mostrato una sola volta per versione e registrato nella lista online.</w:t>
      </w:r>
    </w:p>
    <w:p>
      <w:pPr>
        <w:pStyle w:val="ListBullet"/>
      </w:pPr>
      <w:r>
        <w:t>☐ Utente audit: pulsanti Registro audit e Log locale visibili; utente ordinario: pulsanti non visibili.</w:t>
      </w:r>
    </w:p>
    <w:p>
      <w:pPr>
        <w:pStyle w:val="ListBullet"/>
      </w:pPr>
      <w:r>
        <w:t>☐ Esportazione CSV audit e verifica dei campi operazione, condivisione, destinatario, esito e dettagli.</w:t>
      </w:r>
    </w:p>
    <w:p>
      <w:pPr>
        <w:pStyle w:val="ListBullet"/>
      </w:pPr>
      <w:r>
        <w:t>☐ Utente non assegnato all’Enterprise Application: accesso negato se Assignment required è attivo.</w:t>
      </w:r>
    </w:p>
    <w:p>
      <w:pPr>
        <w:pStyle w:val="Heading1"/>
      </w:pPr>
      <w:r>
        <w:t>8. Esercizio e controlli periodici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7560"/>
      </w:tblGrid>
      <w:tr>
        <w:trPr>
          <w:tblHeader w:val="true"/>
          <w:cantSplit/>
        </w:trPr>
        <w:tc>
          <w:tcPr>
            <w:tcW w:type="dxa" w:w="1800"/>
            <w:shd w:fill="355E8B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8"/>
              </w:rPr>
              <w:t>Frequenza</w:t>
            </w:r>
          </w:p>
        </w:tc>
        <w:tc>
          <w:tcPr>
            <w:tcW w:type="dxa" w:w="7560"/>
            <w:shd w:fill="355E8B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8"/>
              </w:rPr>
              <w:t>Controllo</w:t>
            </w:r>
          </w:p>
        </w:tc>
      </w:tr>
      <w:tr>
        <w:trPr>
          <w:cantSplit/>
        </w:trPr>
        <w:tc>
          <w:tcPr>
            <w:tcW w:type="dxa" w:w="1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212121"/>
                <w:sz w:val="18"/>
              </w:rPr>
              <w:t>Mensile</w:t>
            </w:r>
          </w:p>
        </w:tc>
        <w:tc>
          <w:tcPr>
            <w:tcW w:type="dxa" w:w="75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212121"/>
                <w:sz w:val="18"/>
              </w:rPr>
              <w:t>Membership gruppi utenti/audit/admin, ospiti inattivi, errori audit e log applicativi.</w:t>
            </w:r>
          </w:p>
        </w:tc>
      </w:tr>
      <w:tr>
        <w:trPr>
          <w:cantSplit/>
        </w:trPr>
        <w:tc>
          <w:tcPr>
            <w:tcW w:type="dxa" w:w="1800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212121"/>
                <w:sz w:val="18"/>
              </w:rPr>
              <w:t>Trimestrale</w:t>
            </w:r>
          </w:p>
        </w:tc>
        <w:tc>
          <w:tcPr>
            <w:tcW w:type="dxa" w:w="7560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212121"/>
                <w:sz w:val="18"/>
              </w:rPr>
              <w:t>Permessi Enterprise Application, consent grants, owner gruppi, accessi SharePoint e condivisioni esterne.</w:t>
            </w:r>
          </w:p>
        </w:tc>
      </w:tr>
      <w:tr>
        <w:trPr>
          <w:cantSplit/>
        </w:trPr>
        <w:tc>
          <w:tcPr>
            <w:tcW w:type="dxa" w:w="1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212121"/>
                <w:sz w:val="18"/>
              </w:rPr>
              <w:t>Semestrale</w:t>
            </w:r>
          </w:p>
        </w:tc>
        <w:tc>
          <w:tcPr>
            <w:tcW w:type="dxa" w:w="75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212121"/>
                <w:sz w:val="18"/>
              </w:rPr>
              <w:t>Test di ripristino/configurazione, retention, Conditional Access, versioni librerie e aggiornamenti sicurezza.</w:t>
            </w:r>
          </w:p>
        </w:tc>
      </w:tr>
      <w:tr>
        <w:trPr>
          <w:cantSplit/>
        </w:trPr>
        <w:tc>
          <w:tcPr>
            <w:tcW w:type="dxa" w:w="1800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212121"/>
                <w:sz w:val="18"/>
              </w:rPr>
              <w:t>A ogni rilascio</w:t>
            </w:r>
          </w:p>
        </w:tc>
        <w:tc>
          <w:tcPr>
            <w:tcW w:type="dxa" w:w="7560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212121"/>
                <w:sz w:val="18"/>
              </w:rPr>
              <w:t>Hash pacchetto, appsettings, nuova versione disclaimer, regressione funzioni critiche e aggiornamento del manuale.</w:t>
            </w:r>
          </w:p>
        </w:tc>
      </w:tr>
      <w:tr>
        <w:trPr>
          <w:cantSplit/>
        </w:trPr>
        <w:tc>
          <w:tcPr>
            <w:tcW w:type="dxa" w:w="1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212121"/>
                <w:sz w:val="18"/>
              </w:rPr>
              <w:t>A ogni rebranding</w:t>
            </w:r>
          </w:p>
        </w:tc>
        <w:tc>
          <w:tcPr>
            <w:tcW w:type="dxa" w:w="75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212121"/>
                <w:sz w:val="18"/>
              </w:rPr>
              <w:t>Branding, logo, nome applicazione, colori, disclaimer, documentazione, pacchetto e comunicazioni agli utenti.</w:t>
            </w:r>
          </w:p>
        </w:tc>
      </w:tr>
    </w:tbl>
    <w:p>
      <w:pPr>
        <w:spacing w:after="20"/>
      </w:pPr>
    </w:p>
    <w:p>
      <w:pPr>
        <w:pStyle w:val="Heading1"/>
      </w:pPr>
      <w:r>
        <w:t>9. Risoluzione dei problemi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952"/>
        <w:gridCol w:w="6408"/>
      </w:tblGrid>
      <w:tr>
        <w:trPr>
          <w:tblHeader w:val="true"/>
          <w:cantSplit/>
        </w:trPr>
        <w:tc>
          <w:tcPr>
            <w:tcW w:type="dxa" w:w="2952"/>
            <w:shd w:fill="355E8B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8"/>
              </w:rPr>
              <w:t>Sintomo</w:t>
            </w:r>
          </w:p>
        </w:tc>
        <w:tc>
          <w:tcPr>
            <w:tcW w:type="dxa" w:w="6408"/>
            <w:shd w:fill="355E8B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8"/>
              </w:rPr>
              <w:t>Verifiche</w:t>
            </w:r>
          </w:p>
        </w:tc>
      </w:tr>
      <w:tr>
        <w:trPr>
          <w:cantSplit/>
        </w:trPr>
        <w:tc>
          <w:tcPr>
            <w:tcW w:type="dxa" w:w="295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212121"/>
                <w:sz w:val="18"/>
              </w:rPr>
              <w:t>Richiesta continua di accesso</w:t>
            </w:r>
          </w:p>
        </w:tc>
        <w:tc>
          <w:tcPr>
            <w:tcW w:type="dxa" w:w="640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212121"/>
                <w:sz w:val="18"/>
              </w:rPr>
              <w:t>Consenso, redirect URI effettivo, Conditional Access/MFA, cache MSAL locale, account e tenant.</w:t>
            </w:r>
          </w:p>
        </w:tc>
      </w:tr>
      <w:tr>
        <w:trPr>
          <w:cantSplit/>
        </w:trPr>
        <w:tc>
          <w:tcPr>
            <w:tcW w:type="dxa" w:w="2952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212121"/>
                <w:sz w:val="18"/>
              </w:rPr>
              <w:t>403/Access denied su SharePoint</w:t>
            </w:r>
          </w:p>
        </w:tc>
        <w:tc>
          <w:tcPr>
            <w:tcW w:type="dxa" w:w="6408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212121"/>
                <w:sz w:val="18"/>
              </w:rPr>
              <w:t>Permessi delegati, consenso, accesso reale dell’utente al sito/raccolta, sharing e ruolo SharePoint.</w:t>
            </w:r>
          </w:p>
        </w:tc>
      </w:tr>
      <w:tr>
        <w:trPr>
          <w:cantSplit/>
        </w:trPr>
        <w:tc>
          <w:tcPr>
            <w:tcW w:type="dxa" w:w="295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212121"/>
                <w:sz w:val="18"/>
              </w:rPr>
              <w:t>Liste audit non create</w:t>
            </w:r>
          </w:p>
        </w:tc>
        <w:tc>
          <w:tcPr>
            <w:tcW w:type="dxa" w:w="640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212121"/>
                <w:sz w:val="18"/>
              </w:rPr>
              <w:t>Sites.Manage.All delegato, consenso, privilegi dell’utente sul sito e diritto di creare liste/colonne.</w:t>
            </w:r>
          </w:p>
        </w:tc>
      </w:tr>
      <w:tr>
        <w:trPr>
          <w:cantSplit/>
        </w:trPr>
        <w:tc>
          <w:tcPr>
            <w:tcW w:type="dxa" w:w="2952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212121"/>
                <w:sz w:val="18"/>
              </w:rPr>
              <w:t>Registro audit non visibile</w:t>
            </w:r>
          </w:p>
        </w:tc>
        <w:tc>
          <w:tcPr>
            <w:tcW w:type="dxa" w:w="6408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212121"/>
                <w:sz w:val="18"/>
              </w:rPr>
              <w:t>Object ID del gruppo, membership, GroupMember.Read.All, consenso e nuova autenticazione dopo la modifica.</w:t>
            </w:r>
          </w:p>
        </w:tc>
      </w:tr>
      <w:tr>
        <w:trPr>
          <w:cantSplit/>
        </w:trPr>
        <w:tc>
          <w:tcPr>
            <w:tcW w:type="dxa" w:w="295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212121"/>
                <w:sz w:val="18"/>
              </w:rPr>
              <w:t>Invito non ricevuto</w:t>
            </w:r>
          </w:p>
        </w:tc>
        <w:tc>
          <w:tcPr>
            <w:tcW w:type="dxa" w:w="640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212121"/>
                <w:sz w:val="18"/>
              </w:rPr>
              <w:t>Email, spam/quarantena, sharing esterno, stato guest, esito Graph e voce audit dell’operazione.</w:t>
            </w:r>
          </w:p>
        </w:tc>
      </w:tr>
      <w:tr>
        <w:trPr>
          <w:cantSplit/>
        </w:trPr>
        <w:tc>
          <w:tcPr>
            <w:tcW w:type="dxa" w:w="2952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212121"/>
                <w:sz w:val="18"/>
              </w:rPr>
              <w:t>Invia link fallisce</w:t>
            </w:r>
          </w:p>
        </w:tc>
        <w:tc>
          <w:tcPr>
            <w:tcW w:type="dxa" w:w="6408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212121"/>
                <w:sz w:val="18"/>
              </w:rPr>
              <w:t>Mail.Send delegato, consenso, mailbox/licenza dell’utente, Exchange Online e risposta Graph.</w:t>
            </w:r>
          </w:p>
        </w:tc>
      </w:tr>
      <w:tr>
        <w:trPr>
          <w:cantSplit/>
        </w:trPr>
        <w:tc>
          <w:tcPr>
            <w:tcW w:type="dxa" w:w="295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212121"/>
                <w:sz w:val="18"/>
              </w:rPr>
              <w:t>Scadenza non applicata</w:t>
            </w:r>
          </w:p>
        </w:tc>
        <w:tc>
          <w:tcPr>
            <w:tcW w:type="dxa" w:w="640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212121"/>
                <w:sz w:val="18"/>
              </w:rPr>
              <w:t>L’app deve essere avviata dopo la data; controllare metadato scadenza, accessi esterni e audit della chiusura.</w:t>
            </w:r>
          </w:p>
        </w:tc>
      </w:tr>
      <w:tr>
        <w:trPr>
          <w:cantSplit/>
        </w:trPr>
        <w:tc>
          <w:tcPr>
            <w:tcW w:type="dxa" w:w="2952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212121"/>
                <w:sz w:val="18"/>
              </w:rPr>
              <w:t>Colonne non trovate</w:t>
            </w:r>
          </w:p>
        </w:tc>
        <w:tc>
          <w:tcPr>
            <w:tcW w:type="dxa" w:w="6408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212121"/>
                <w:sz w:val="18"/>
              </w:rPr>
              <w:t>Nomi visualizzati esatti: Richiesto da, Note, scadenza; raccolta documenti corretta.</w:t>
            </w:r>
          </w:p>
        </w:tc>
      </w:tr>
    </w:tbl>
    <w:p>
      <w:pPr>
        <w:spacing w:after="20"/>
      </w:pPr>
    </w:p>
    <w:p>
      <w:pPr>
        <w:pStyle w:val="Heading1"/>
      </w:pPr>
      <w:r>
        <w:t>10. Raccomandazioni di sicurezza e roadmap</w:t>
      </w:r>
    </w:p>
    <w:p>
      <w:pPr>
        <w:pStyle w:val="ListBullet"/>
      </w:pPr>
      <w:r>
        <w:t>Valutare la riduzione degli scope tenant-wide tramite un disegno Sites.Selected o equivalente; la build corrente non è predisposta e richiede modifica e collaudo.</w:t>
      </w:r>
    </w:p>
    <w:p>
      <w:pPr>
        <w:pStyle w:val="ListBullet"/>
      </w:pPr>
      <w:r>
        <w:t>Separare il bootstrap amministrativo dalla normale esecuzione, così gli operatori non necessitano di capacità di gestione liste dopo la configurazione iniziale.</w:t>
      </w:r>
    </w:p>
    <w:p>
      <w:pPr>
        <w:pStyle w:val="ListBullet"/>
      </w:pPr>
      <w:r>
        <w:t>Valutare un backend o un’automazione cloud per revoche a scadenza garantite anche quando nessun client viene avviato.</w:t>
      </w:r>
    </w:p>
    <w:p>
      <w:pPr>
        <w:pStyle w:val="ListBullet"/>
      </w:pPr>
      <w:r>
        <w:t>Applicare ACL specifiche e retention alle liste audit; considerare un repository di logging con immutabilità e segregazione coerenti con i requisiti dello Studio.</w:t>
      </w:r>
    </w:p>
    <w:p>
      <w:pPr>
        <w:pStyle w:val="ListBullet"/>
      </w:pPr>
      <w:r>
        <w:t>Firmare il codice e il pacchetto di distribuzione; distribuire tramite canale gestito e verificare integrità/versione.</w:t>
      </w:r>
    </w:p>
    <w:p>
      <w:pPr>
        <w:pStyle w:val="ListBullet"/>
      </w:pPr>
      <w:r>
        <w:t>Formalizzare access review, incident response, backup, ripristino e change management nel sistema ISO 9001 / ISO/IEC 27001 / UNI 11871.</w:t>
      </w:r>
    </w:p>
    <w:p>
      <w:pPr>
        <w:pStyle w:val="Heading1"/>
      </w:pPr>
      <w:r>
        <w:t>11. Riferimenti Microsoft ufficiali</w:t>
      </w:r>
    </w:p>
    <w:p>
      <w:pPr>
        <w:pStyle w:val="ListBullet"/>
      </w:pPr>
      <w:r>
        <w:rPr>
          <w:rFonts w:ascii="Aptos" w:hAnsi="Aptos"/>
          <w:b/>
          <w:color w:val="274766"/>
        </w:rPr>
        <w:t xml:space="preserve">Registrare un’app Microsoft Entra: </w:t>
      </w:r>
      <w:r>
        <w:rPr>
          <w:rFonts w:ascii="Aptos" w:hAnsi="Aptos"/>
          <w:color w:val="355E8B"/>
          <w:sz w:val="19"/>
        </w:rPr>
        <w:t>https://learn.microsoft.com/en-us/entra/identity-platform/quickstart-register-app</w:t>
      </w:r>
    </w:p>
    <w:p>
      <w:pPr>
        <w:pStyle w:val="ListBullet"/>
      </w:pPr>
      <w:r>
        <w:rPr>
          <w:rFonts w:ascii="Aptos" w:hAnsi="Aptos"/>
          <w:b/>
          <w:color w:val="274766"/>
        </w:rPr>
        <w:t xml:space="preserve">Configurare app desktop che chiamano API: </w:t>
      </w:r>
      <w:r>
        <w:rPr>
          <w:rFonts w:ascii="Aptos" w:hAnsi="Aptos"/>
          <w:color w:val="355E8B"/>
          <w:sz w:val="19"/>
        </w:rPr>
        <w:t>https://learn.microsoft.com/en-us/entra/identity-platform/scenario-desktop-app-configuration</w:t>
      </w:r>
    </w:p>
    <w:p>
      <w:pPr>
        <w:pStyle w:val="ListBullet"/>
      </w:pPr>
      <w:r>
        <w:rPr>
          <w:rFonts w:ascii="Aptos" w:hAnsi="Aptos"/>
          <w:b/>
          <w:color w:val="274766"/>
        </w:rPr>
        <w:t xml:space="preserve">Aggiungere un redirect URI: </w:t>
      </w:r>
      <w:r>
        <w:rPr>
          <w:rFonts w:ascii="Aptos" w:hAnsi="Aptos"/>
          <w:color w:val="355E8B"/>
          <w:sz w:val="19"/>
        </w:rPr>
        <w:t>https://learn.microsoft.com/en-us/entra/identity-platform/how-to-add-redirect-uri</w:t>
      </w:r>
    </w:p>
    <w:p>
      <w:pPr>
        <w:pStyle w:val="ListBullet"/>
      </w:pPr>
      <w:r>
        <w:rPr>
          <w:rFonts w:ascii="Aptos" w:hAnsi="Aptos"/>
          <w:b/>
          <w:color w:val="274766"/>
        </w:rPr>
        <w:t xml:space="preserve">Permessi API e consenso amministrativo: </w:t>
      </w:r>
      <w:r>
        <w:rPr>
          <w:rFonts w:ascii="Aptos" w:hAnsi="Aptos"/>
          <w:color w:val="355E8B"/>
          <w:sz w:val="19"/>
        </w:rPr>
        <w:t>https://learn.microsoft.com/en-us/entra/identity-platform/quickstart-configure-app-access-web-apis</w:t>
      </w:r>
    </w:p>
    <w:p>
      <w:pPr>
        <w:pStyle w:val="ListBullet"/>
      </w:pPr>
      <w:r>
        <w:rPr>
          <w:rFonts w:ascii="Aptos" w:hAnsi="Aptos"/>
          <w:b/>
          <w:color w:val="274766"/>
        </w:rPr>
        <w:t xml:space="preserve">Riferimento permessi Microsoft Graph: </w:t>
      </w:r>
      <w:r>
        <w:rPr>
          <w:rFonts w:ascii="Aptos" w:hAnsi="Aptos"/>
          <w:color w:val="355E8B"/>
          <w:sz w:val="19"/>
        </w:rPr>
        <w:t>https://learn.microsoft.com/en-us/graph/permissions-reference</w:t>
      </w:r>
    </w:p>
    <w:p>
      <w:pPr>
        <w:pStyle w:val="ListBullet"/>
      </w:pPr>
      <w:r>
        <w:rPr>
          <w:rFonts w:ascii="Aptos" w:hAnsi="Aptos"/>
          <w:b/>
          <w:color w:val="274766"/>
        </w:rPr>
        <w:t xml:space="preserve">Invito a un driveItem SharePoint: </w:t>
      </w:r>
      <w:r>
        <w:rPr>
          <w:rFonts w:ascii="Aptos" w:hAnsi="Aptos"/>
          <w:color w:val="355E8B"/>
          <w:sz w:val="19"/>
        </w:rPr>
        <w:t>https://learn.microsoft.com/en-us/graph/api/driveitem-invite</w:t>
      </w:r>
    </w:p>
    <w:p>
      <w:pPr>
        <w:pStyle w:val="ListBullet"/>
      </w:pPr>
      <w:r>
        <w:rPr>
          <w:rFonts w:ascii="Aptos" w:hAnsi="Aptos"/>
          <w:b/>
          <w:color w:val="274766"/>
        </w:rPr>
        <w:t xml:space="preserve">Verifica membership dei gruppi: </w:t>
      </w:r>
      <w:r>
        <w:rPr>
          <w:rFonts w:ascii="Aptos" w:hAnsi="Aptos"/>
          <w:color w:val="355E8B"/>
          <w:sz w:val="19"/>
        </w:rPr>
        <w:t>https://learn.microsoft.com/en-us/graph/api/directoryobject-checkmembergroups</w:t>
      </w:r>
    </w:p>
    <w:p>
      <w:pPr>
        <w:pStyle w:val="ListBullet"/>
      </w:pPr>
      <w:r>
        <w:rPr>
          <w:rFonts w:ascii="Aptos" w:hAnsi="Aptos"/>
          <w:b/>
          <w:color w:val="274766"/>
        </w:rPr>
        <w:t xml:space="preserve">Assegnare utenti e gruppi alle applicazioni: </w:t>
      </w:r>
      <w:r>
        <w:rPr>
          <w:rFonts w:ascii="Aptos" w:hAnsi="Aptos"/>
          <w:color w:val="355E8B"/>
          <w:sz w:val="19"/>
        </w:rPr>
        <w:t>https://learn.microsoft.com/en-us/entra/identity/enterprise-apps/assign-user-or-group-access-portal</w:t>
      </w:r>
    </w:p>
    <w:p>
      <w:pPr>
        <w:pStyle w:val="ListBullet"/>
      </w:pPr>
      <w:r>
        <w:rPr>
          <w:rFonts w:ascii="Aptos" w:hAnsi="Aptos"/>
          <w:b/>
          <w:color w:val="274766"/>
        </w:rPr>
        <w:t xml:space="preserve">Condivisione e permessi SharePoint: </w:t>
      </w:r>
      <w:r>
        <w:rPr>
          <w:rFonts w:ascii="Aptos" w:hAnsi="Aptos"/>
          <w:color w:val="355E8B"/>
          <w:sz w:val="19"/>
        </w:rPr>
        <w:t>https://learn.microsoft.com/en-us/sharepoint/modern-experience-sharing-permissions</w:t>
      </w:r>
    </w:p>
    <w:p>
      <w:pPr>
        <w:pStyle w:val="ListBullet"/>
      </w:pPr>
      <w:r>
        <w:rPr>
          <w:rFonts w:ascii="Aptos" w:hAnsi="Aptos"/>
          <w:b/>
          <w:color w:val="274766"/>
        </w:rPr>
        <w:t xml:space="preserve">Limitare la condivisione esterna a gruppi: </w:t>
      </w:r>
      <w:r>
        <w:rPr>
          <w:rFonts w:ascii="Aptos" w:hAnsi="Aptos"/>
          <w:color w:val="355E8B"/>
          <w:sz w:val="19"/>
        </w:rPr>
        <w:t>https://learn.microsoft.com/en-us/sharepoint/manage-security-groups</w:t>
      </w:r>
    </w:p>
    <w:p>
      <w:pPr>
        <w:pStyle w:val="Heading1"/>
      </w:pPr>
      <w:r>
        <w:t>Appendice A — Matrice sintetica delle responsabilità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168"/>
        <w:gridCol w:w="1512"/>
        <w:gridCol w:w="1584"/>
        <w:gridCol w:w="1440"/>
        <w:gridCol w:w="1656"/>
      </w:tblGrid>
      <w:tr>
        <w:trPr>
          <w:tblHeader w:val="true"/>
          <w:cantSplit/>
        </w:trPr>
        <w:tc>
          <w:tcPr>
            <w:tcW w:type="dxa" w:w="3168"/>
            <w:shd w:fill="355E8B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8"/>
              </w:rPr>
              <w:t>Attività</w:t>
            </w:r>
          </w:p>
        </w:tc>
        <w:tc>
          <w:tcPr>
            <w:tcW w:type="dxa" w:w="1512"/>
            <w:shd w:fill="355E8B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8"/>
              </w:rPr>
              <w:t>Tenant/Entra admin</w:t>
            </w:r>
          </w:p>
        </w:tc>
        <w:tc>
          <w:tcPr>
            <w:tcW w:type="dxa" w:w="1584"/>
            <w:shd w:fill="355E8B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8"/>
              </w:rPr>
              <w:t>SharePoint admin</w:t>
            </w:r>
          </w:p>
        </w:tc>
        <w:tc>
          <w:tcPr>
            <w:tcW w:type="dxa" w:w="1440"/>
            <w:shd w:fill="355E8B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8"/>
              </w:rPr>
              <w:t>Operatore</w:t>
            </w:r>
          </w:p>
        </w:tc>
        <w:tc>
          <w:tcPr>
            <w:tcW w:type="dxa" w:w="1656"/>
            <w:shd w:fill="355E8B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8"/>
              </w:rPr>
              <w:t>Audit reader</w:t>
            </w:r>
          </w:p>
        </w:tc>
      </w:tr>
      <w:tr>
        <w:trPr>
          <w:cantSplit/>
        </w:trPr>
        <w:tc>
          <w:tcPr>
            <w:tcW w:type="dxa" w:w="316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212121"/>
                <w:sz w:val="17"/>
              </w:rPr>
              <w:t>App registration e consenso</w:t>
            </w:r>
          </w:p>
        </w:tc>
        <w:tc>
          <w:tcPr>
            <w:tcW w:type="dxa" w:w="151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212121"/>
                <w:sz w:val="17"/>
              </w:rPr>
              <w:t>R/A</w:t>
            </w:r>
          </w:p>
        </w:tc>
        <w:tc>
          <w:tcPr>
            <w:tcW w:type="dxa" w:w="158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212121"/>
                <w:sz w:val="17"/>
              </w:rPr>
              <w:t>C</w:t>
            </w:r>
          </w:p>
        </w:tc>
        <w:tc>
          <w:tcPr>
            <w:tcW w:type="dxa" w:w="144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212121"/>
                <w:sz w:val="17"/>
              </w:rPr>
              <w:t>I</w:t>
            </w:r>
          </w:p>
        </w:tc>
        <w:tc>
          <w:tcPr>
            <w:tcW w:type="dxa" w:w="165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212121"/>
                <w:sz w:val="17"/>
              </w:rPr>
              <w:t>I</w:t>
            </w:r>
          </w:p>
        </w:tc>
      </w:tr>
      <w:tr>
        <w:trPr>
          <w:cantSplit/>
        </w:trPr>
        <w:tc>
          <w:tcPr>
            <w:tcW w:type="dxa" w:w="3168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212121"/>
                <w:sz w:val="17"/>
              </w:rPr>
              <w:t>Sito, colonne e bootstrap</w:t>
            </w:r>
          </w:p>
        </w:tc>
        <w:tc>
          <w:tcPr>
            <w:tcW w:type="dxa" w:w="1512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212121"/>
                <w:sz w:val="17"/>
              </w:rPr>
              <w:t>C</w:t>
            </w:r>
          </w:p>
        </w:tc>
        <w:tc>
          <w:tcPr>
            <w:tcW w:type="dxa" w:w="1584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212121"/>
                <w:sz w:val="17"/>
              </w:rPr>
              <w:t>R/A</w:t>
            </w:r>
          </w:p>
        </w:tc>
        <w:tc>
          <w:tcPr>
            <w:tcW w:type="dxa" w:w="1440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212121"/>
                <w:sz w:val="17"/>
              </w:rPr>
              <w:t>I</w:t>
            </w:r>
          </w:p>
        </w:tc>
        <w:tc>
          <w:tcPr>
            <w:tcW w:type="dxa" w:w="1656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212121"/>
                <w:sz w:val="17"/>
              </w:rPr>
              <w:t>I</w:t>
            </w:r>
          </w:p>
        </w:tc>
      </w:tr>
      <w:tr>
        <w:trPr>
          <w:cantSplit/>
        </w:trPr>
        <w:tc>
          <w:tcPr>
            <w:tcW w:type="dxa" w:w="316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212121"/>
                <w:sz w:val="17"/>
              </w:rPr>
              <w:t>Membership gruppo utenti</w:t>
            </w:r>
          </w:p>
        </w:tc>
        <w:tc>
          <w:tcPr>
            <w:tcW w:type="dxa" w:w="151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212121"/>
                <w:sz w:val="17"/>
              </w:rPr>
              <w:t>R/A</w:t>
            </w:r>
          </w:p>
        </w:tc>
        <w:tc>
          <w:tcPr>
            <w:tcW w:type="dxa" w:w="158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212121"/>
                <w:sz w:val="17"/>
              </w:rPr>
              <w:t>C</w:t>
            </w:r>
          </w:p>
        </w:tc>
        <w:tc>
          <w:tcPr>
            <w:tcW w:type="dxa" w:w="144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212121"/>
                <w:sz w:val="17"/>
              </w:rPr>
              <w:t>I</w:t>
            </w:r>
          </w:p>
        </w:tc>
        <w:tc>
          <w:tcPr>
            <w:tcW w:type="dxa" w:w="165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212121"/>
                <w:sz w:val="17"/>
              </w:rPr>
              <w:t>I</w:t>
            </w:r>
          </w:p>
        </w:tc>
      </w:tr>
      <w:tr>
        <w:trPr>
          <w:cantSplit/>
        </w:trPr>
        <w:tc>
          <w:tcPr>
            <w:tcW w:type="dxa" w:w="3168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212121"/>
                <w:sz w:val="17"/>
              </w:rPr>
              <w:t>Membership gruppo audit</w:t>
            </w:r>
          </w:p>
        </w:tc>
        <w:tc>
          <w:tcPr>
            <w:tcW w:type="dxa" w:w="1512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212121"/>
                <w:sz w:val="17"/>
              </w:rPr>
              <w:t>R/A</w:t>
            </w:r>
          </w:p>
        </w:tc>
        <w:tc>
          <w:tcPr>
            <w:tcW w:type="dxa" w:w="1584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212121"/>
                <w:sz w:val="17"/>
              </w:rPr>
              <w:t>C</w:t>
            </w:r>
          </w:p>
        </w:tc>
        <w:tc>
          <w:tcPr>
            <w:tcW w:type="dxa" w:w="1440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212121"/>
                <w:sz w:val="17"/>
              </w:rPr>
              <w:t>I</w:t>
            </w:r>
          </w:p>
        </w:tc>
        <w:tc>
          <w:tcPr>
            <w:tcW w:type="dxa" w:w="1656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212121"/>
                <w:sz w:val="17"/>
              </w:rPr>
              <w:t>I</w:t>
            </w:r>
          </w:p>
        </w:tc>
      </w:tr>
      <w:tr>
        <w:trPr>
          <w:cantSplit/>
        </w:trPr>
        <w:tc>
          <w:tcPr>
            <w:tcW w:type="dxa" w:w="316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212121"/>
                <w:sz w:val="17"/>
              </w:rPr>
              <w:t>Gestione condivisioni e accessi</w:t>
            </w:r>
          </w:p>
        </w:tc>
        <w:tc>
          <w:tcPr>
            <w:tcW w:type="dxa" w:w="151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212121"/>
                <w:sz w:val="17"/>
              </w:rPr>
              <w:t>I</w:t>
            </w:r>
          </w:p>
        </w:tc>
        <w:tc>
          <w:tcPr>
            <w:tcW w:type="dxa" w:w="158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212121"/>
                <w:sz w:val="17"/>
              </w:rPr>
              <w:t>C</w:t>
            </w:r>
          </w:p>
        </w:tc>
        <w:tc>
          <w:tcPr>
            <w:tcW w:type="dxa" w:w="144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212121"/>
                <w:sz w:val="17"/>
              </w:rPr>
              <w:t>R/A</w:t>
            </w:r>
          </w:p>
        </w:tc>
        <w:tc>
          <w:tcPr>
            <w:tcW w:type="dxa" w:w="165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212121"/>
                <w:sz w:val="17"/>
              </w:rPr>
              <w:t>I</w:t>
            </w:r>
          </w:p>
        </w:tc>
      </w:tr>
      <w:tr>
        <w:trPr>
          <w:cantSplit/>
        </w:trPr>
        <w:tc>
          <w:tcPr>
            <w:tcW w:type="dxa" w:w="3168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212121"/>
                <w:sz w:val="17"/>
              </w:rPr>
              <w:t>Consultazione/esportazione audit</w:t>
            </w:r>
          </w:p>
        </w:tc>
        <w:tc>
          <w:tcPr>
            <w:tcW w:type="dxa" w:w="1512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212121"/>
                <w:sz w:val="17"/>
              </w:rPr>
              <w:t>I</w:t>
            </w:r>
          </w:p>
        </w:tc>
        <w:tc>
          <w:tcPr>
            <w:tcW w:type="dxa" w:w="1584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212121"/>
                <w:sz w:val="17"/>
              </w:rPr>
              <w:t>C</w:t>
            </w:r>
          </w:p>
        </w:tc>
        <w:tc>
          <w:tcPr>
            <w:tcW w:type="dxa" w:w="1440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212121"/>
                <w:sz w:val="17"/>
              </w:rPr>
              <w:t>I</w:t>
            </w:r>
          </w:p>
        </w:tc>
        <w:tc>
          <w:tcPr>
            <w:tcW w:type="dxa" w:w="1656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212121"/>
                <w:sz w:val="17"/>
              </w:rPr>
              <w:t>R/A</w:t>
            </w:r>
          </w:p>
        </w:tc>
      </w:tr>
      <w:tr>
        <w:trPr>
          <w:cantSplit/>
        </w:trPr>
        <w:tc>
          <w:tcPr>
            <w:tcW w:type="dxa" w:w="316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212121"/>
                <w:sz w:val="17"/>
              </w:rPr>
              <w:t>Retention e access review</w:t>
            </w:r>
          </w:p>
        </w:tc>
        <w:tc>
          <w:tcPr>
            <w:tcW w:type="dxa" w:w="151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212121"/>
                <w:sz w:val="17"/>
              </w:rPr>
              <w:t>A</w:t>
            </w:r>
          </w:p>
        </w:tc>
        <w:tc>
          <w:tcPr>
            <w:tcW w:type="dxa" w:w="158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212121"/>
                <w:sz w:val="17"/>
              </w:rPr>
              <w:t>R</w:t>
            </w:r>
          </w:p>
        </w:tc>
        <w:tc>
          <w:tcPr>
            <w:tcW w:type="dxa" w:w="144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212121"/>
                <w:sz w:val="17"/>
              </w:rPr>
              <w:t>I</w:t>
            </w:r>
          </w:p>
        </w:tc>
        <w:tc>
          <w:tcPr>
            <w:tcW w:type="dxa" w:w="165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212121"/>
                <w:sz w:val="17"/>
              </w:rPr>
              <w:t>C</w:t>
            </w:r>
          </w:p>
        </w:tc>
      </w:tr>
    </w:tbl>
    <w:p>
      <w:pPr>
        <w:spacing w:after="20"/>
      </w:pPr>
    </w:p>
    <w:p>
      <w:r>
        <w:t>Legenda: R = Responsible; A = Accountable; C = Consulted; I = Informed.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ptos" w:hAnsi="Aptos"/>
        <w:color w:val="555555"/>
        <w:sz w:val="17"/>
      </w:rPr>
      <w:t xml:space="preserve">Giovanardi Studio Legale  •  Uso interno  |  </w:t>
    </w:r>
    <w:r>
      <w:rPr>
        <w:rFonts w:ascii="Aptos" w:hAnsi="Aptos"/>
        <w:color w:val="555555"/>
        <w:sz w:val="17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ptos" w:hAnsi="Aptos"/>
        <w:b/>
        <w:color w:val="555555"/>
        <w:sz w:val="17"/>
      </w:rPr>
      <w:t>DATA ROOM  |  MANUALE DI AMMINISTRAZIONE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74" w:lineRule="auto"/>
    </w:pPr>
    <w:rPr>
      <w:rFonts w:ascii="Aptos" w:hAnsi="Aptos"/>
      <w:color w:val="212121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55E8B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355E8B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8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274766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274" w:lineRule="auto"/>
      <w:ind w:left="547" w:hanging="274"/>
      <w:contextualSpacing/>
    </w:pPr>
    <w:rPr>
      <w:rFonts w:ascii="Aptos" w:hAnsi="Aptos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274" w:lineRule="auto"/>
      <w:ind w:left="547" w:hanging="274"/>
      <w:contextualSpacing/>
    </w:pPr>
    <w:rPr>
      <w:rFonts w:ascii="Aptos" w:hAnsi="Aptos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allout">
    <w:name w:val="Callout"/>
    <w:pPr>
      <w:spacing w:before="120" w:after="160" w:line="269" w:lineRule="auto"/>
      <w:ind w:left="259" w:right="259"/>
    </w:pPr>
    <w:rPr>
      <w:rFonts w:ascii="Aptos" w:hAnsi="Aptos"/>
      <w:color w:val="274766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Manuale di amministrazione - Giovanardi Studio Legale Data Room</dc:title>
  <dc:subject>Configurazione Microsoft 365, SharePoint, Microsoft Graph e gestione operativa</dc:subject>
  <dc:creator>Giovanardi Studio Legale</dc:creator>
  <cp:keywords>Data Room, SharePoint, Microsoft Graph, Entra ID, audit, amministrazione</cp:keywords>
  <dc:description>Documento generato sulla base della configurazione applicativa al 20 luglio 2026.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