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  <w:jc w:val="center"/>
      </w:pPr>
      <w:r>
        <w:drawing>
          <wp:inline xmlns:a="http://schemas.openxmlformats.org/drawingml/2006/main" xmlns:pic="http://schemas.openxmlformats.org/drawingml/2006/picture">
            <wp:extent cx="2377440" cy="935750"/>
            <wp:docPr id="1" name="Picture 1" descr="Logo Giovanardi Studio Legale" title="Giovanardi Studio Leg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St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3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/>
          <w:color w:val="C9B76A"/>
          <w:sz w:val="22"/>
        </w:rPr>
        <w:t>GUIDA OPERATIVA</w:t>
      </w:r>
    </w:p>
    <w:p>
      <w:pPr>
        <w:spacing w:after="160"/>
        <w:jc w:val="center"/>
      </w:pPr>
      <w:r>
        <w:rPr>
          <w:rFonts w:ascii="Aptos Display" w:hAnsi="Aptos Display"/>
          <w:b/>
          <w:color w:val="274766"/>
          <w:sz w:val="58"/>
        </w:rPr>
        <w:t>Manuale utente Data Room</w:t>
      </w:r>
    </w:p>
    <w:p>
      <w:pPr>
        <w:spacing w:after="1280"/>
        <w:jc w:val="center"/>
      </w:pPr>
      <w:r>
        <w:rPr>
          <w:rFonts w:ascii="Aptos" w:hAnsi="Aptos"/>
          <w:color w:val="555555"/>
          <w:sz w:val="27"/>
        </w:rPr>
        <w:t>Creare, aprire e gestire le condivisioni SharePoint in sicurezza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4536"/>
        <w:gridCol w:w="2304"/>
      </w:tblGrid>
      <w:tr>
        <w:trPr>
          <w:tblHeader w:val="true"/>
          <w:cantSplit/>
        </w:trPr>
        <w:tc>
          <w:tcPr>
            <w:tcW w:type="dxa" w:w="252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Edizione</w:t>
            </w:r>
          </w:p>
        </w:tc>
        <w:tc>
          <w:tcPr>
            <w:tcW w:type="dxa" w:w="4536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Destinatari</w:t>
            </w:r>
          </w:p>
        </w:tc>
        <w:tc>
          <w:tcPr>
            <w:tcW w:type="dxa" w:w="2304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Classificazione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1.0 - 20 luglio 2026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Segreteria e personale autorizzato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Uso interno</w:t>
            </w:r>
          </w:p>
        </w:tc>
      </w:tr>
    </w:tbl>
    <w:p>
      <w:pPr>
        <w:spacing w:after="20"/>
      </w:pP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Regola fondamentale  </w:t>
      </w:r>
      <w:r>
        <w:rPr>
          <w:rFonts w:ascii="Aptos" w:hAnsi="Aptos"/>
          <w:color w:val="212121"/>
        </w:rPr>
        <w:t>Prima di creare o modificare una condivisione, verificare sempre condivisione, destinatari, indirizzi email, ruolo e scadenza. Il colore fucsia identifica azioni che richiedono particolare attenzione.</w:t>
      </w:r>
    </w:p>
    <w:p>
      <w:r>
        <w:br w:type="page"/>
      </w:r>
    </w:p>
    <w:p>
      <w:pPr>
        <w:pStyle w:val="Heading1"/>
      </w:pPr>
      <w:r>
        <w:t>1. Avvio e collegamento a Microsoft 365</w:t>
      </w:r>
    </w:p>
    <w:p>
      <w:r>
        <w:t>All’avvio l’app prova a utilizzare la sessione Microsoft 365 già presente nella cache protetta. Se necessario compare la finestra Microsoft per l’accesso e l’eventuale autenticazione multifattore.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Attendere il caricamento</w:t>
        <w:br/>
      </w:r>
      <w:r>
        <w:rPr>
          <w:rFonts w:ascii="Aptos" w:hAnsi="Aptos"/>
          <w:color w:val="212121"/>
        </w:rPr>
        <w:t>La barra indica le fasi di autenticazione, collegamento alla raccolta documenti, caricamento condivisioni e controllo scadenze. Non chiudere l’app durante questa fase.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00600" cy="1302909"/>
            <wp:docPr id="2" name="Picture 2" descr="Finestra di caricamento Microsoft 365 con testo, barra percentuale e avanzamento" title="Figura 1 - Indicatore di caricamento durante il collegamento a Microsoft 36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345e3cb-6ac7-48f2-803b-c647eab3ad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0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55555"/>
          <w:sz w:val="18"/>
        </w:rPr>
        <w:t>Figura 1 - Indicatore di caricamento durante il collegamento a Microsoft 365.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Controllare lo stato</w:t>
        <w:br/>
      </w:r>
      <w:r>
        <w:rPr>
          <w:rFonts w:ascii="Aptos" w:hAnsi="Aptos"/>
          <w:color w:val="212121"/>
        </w:rPr>
        <w:t>Il pallino verde accanto a “Servizi Microsoft 365” indica che il collegamento è riuscito. Il riquadro centrale mostra nome ed email dell’utente autenticato.</w:t>
      </w: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Se il collegamento non riesce  </w:t>
      </w:r>
      <w:r>
        <w:rPr>
          <w:rFonts w:ascii="Aptos" w:hAnsi="Aptos"/>
          <w:color w:val="212121"/>
        </w:rPr>
        <w:t>Verificare rete e account Microsoft 365. Se richiesto, completare nuovamente l’accesso. In caso di errore persistente contattare l’assistenza indicando il messaggio visualizzato.</w:t>
      </w:r>
    </w:p>
    <w:p>
      <w:pPr>
        <w:pStyle w:val="Heading1"/>
      </w:pPr>
      <w:r>
        <w:t>2. Conoscere la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153902"/>
            <wp:docPr id="3" name="Picture 3" descr="Dashboard della Data Room con servizi Microsoft 365, utente, gestione condivisione, accessi, dettagli e pulsanti" title="Figura 2 - Dashboard operativa. L’immagine mostra la disposizione generale dei comand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6883083-b5c3-4d79-9482-ab61410c6c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5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55555"/>
          <w:sz w:val="18"/>
        </w:rPr>
        <w:t>Figura 2 - Dashboard operativa. L’immagine mostra la disposizione generale dei comandi.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84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Contenuto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Servizi Microsoft 365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Stato del collegamento alla raccolta documenti.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Identità utente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Nome ed email dell’operatore connesso.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Gestione condivisione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Nuova condivisione e Apri esistente.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Accessi alla condivisione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Utenti autorizzati con email e ruolo; gli esterni sono evidenziati graficamente.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Condivisione selezionata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Nome, richiedente, note, scadenza, data e autore della creazione.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Comandi operativi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Aggiungi utente, Modifica ruolo, Modifica condivisione, Rimuovi, Invia link e Revoca accessi.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Barra inferiore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Stato della sessione e, per i soli autorizzati, accesso a log locale e registro audit.</w:t>
            </w:r>
          </w:p>
        </w:tc>
      </w:tr>
    </w:tbl>
    <w:p>
      <w:pPr>
        <w:spacing w:after="20"/>
      </w:pPr>
    </w:p>
    <w:p>
      <w:pPr>
        <w:pStyle w:val="Instruction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Nota sull’immagine  </w:t>
      </w:r>
      <w:r>
        <w:rPr>
          <w:rFonts w:ascii="Aptos" w:hAnsi="Aptos"/>
          <w:color w:val="212121"/>
        </w:rPr>
        <w:t>La disposizione illustrata è rappresentativa. Etichette e pulsanti possono presentare piccoli aggiornamenti grafici rispetto allo screenshot, senza cambiare il flusso operativo.</w:t>
      </w:r>
    </w:p>
    <w:p>
      <w:r>
        <w:br w:type="page"/>
      </w:r>
    </w:p>
    <w:p>
      <w:pPr>
        <w:pStyle w:val="Heading1"/>
      </w:pPr>
      <w:r>
        <w:t>3. Creare una nuova condivisione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Aprire la finestra</w:t>
        <w:br/>
      </w:r>
      <w:r>
        <w:rPr>
          <w:rFonts w:ascii="Aptos" w:hAnsi="Aptos"/>
          <w:color w:val="212121"/>
        </w:rPr>
        <w:t>Fare clic su “Nuova condivisione”.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Compilare i dati</w:t>
        <w:br/>
      </w:r>
      <w:r>
        <w:rPr>
          <w:rFonts w:ascii="Aptos" w:hAnsi="Aptos"/>
          <w:color w:val="212121"/>
        </w:rPr>
        <w:t>Inserire il nome della condivisione, il nominativo nel campo “Richiesto da”, le note utili e, se prevista, la scadenza.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Verificare</w:t>
        <w:br/>
      </w:r>
      <w:r>
        <w:rPr>
          <w:rFonts w:ascii="Aptos" w:hAnsi="Aptos"/>
          <w:color w:val="212121"/>
        </w:rPr>
        <w:t>Controllare l’ortografia del nome, la correttezza del richiedente e l’eventuale data.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4. Creare</w:t>
        <w:br/>
      </w:r>
      <w:r>
        <w:rPr>
          <w:rFonts w:ascii="Aptos" w:hAnsi="Aptos"/>
          <w:color w:val="212121"/>
        </w:rPr>
        <w:t>Confermare la creazione. Se esiste già una cartella con lo stesso nome, l’app assegna automaticamente un progressivo: nome (1), nome (2) e così via.</w:t>
      </w:r>
    </w:p>
    <w:p>
      <w:pPr>
        <w:pStyle w:val="Instruction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La scadenza non è obbligatoria  </w:t>
      </w:r>
      <w:r>
        <w:rPr>
          <w:rFonts w:ascii="Aptos" w:hAnsi="Aptos"/>
          <w:color w:val="212121"/>
        </w:rPr>
        <w:t>Può essere aggiunta, modificata o rimossa in seguito tramite “Modifica condivisione”. La scadenza viene controllata quando l’app viene avviata.</w:t>
      </w:r>
    </w:p>
    <w:p>
      <w:pPr>
        <w:pStyle w:val="Heading1"/>
      </w:pPr>
      <w:r>
        <w:t>4. Aprire una condivisione esistente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Mostrare l’archivio</w:t>
        <w:br/>
      </w:r>
      <w:r>
        <w:rPr>
          <w:rFonts w:ascii="Aptos" w:hAnsi="Aptos"/>
          <w:color w:val="212121"/>
        </w:rPr>
        <w:t>Fare clic su “Apri esistente”.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Cercare</w:t>
        <w:br/>
      </w:r>
      <w:r>
        <w:rPr>
          <w:rFonts w:ascii="Aptos" w:hAnsi="Aptos"/>
          <w:color w:val="212121"/>
        </w:rPr>
        <w:t>Digitare una parte del nome nel campo di ricerca oppure scorrere l’elenco. La riga sotto il mouse viene evidenziata in oro.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Controllare la scadenza</w:t>
        <w:br/>
      </w:r>
      <w:r>
        <w:rPr>
          <w:rFonts w:ascii="Aptos" w:hAnsi="Aptos"/>
          <w:color w:val="212121"/>
        </w:rPr>
        <w:t>La colonna dedicata indica nessuna scadenza, la data, l’avvicinarsi della scadenza oppure lo stato scaduta/chiusa.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4. Aprire</w:t>
        <w:br/>
      </w:r>
      <w:r>
        <w:rPr>
          <w:rFonts w:ascii="Aptos" w:hAnsi="Aptos"/>
          <w:color w:val="212121"/>
        </w:rPr>
        <w:t>Selezionare la riga e premere “Apri”, oppure fare doppio clic sulla condivisione.</w:t>
      </w:r>
    </w:p>
    <w:p>
      <w:pPr>
        <w:pStyle w:val="Heading1"/>
      </w:pPr>
      <w:r>
        <w:t>5. Leggere i dati della condivisione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2777183"/>
            <wp:docPr id="4" name="Picture 4" descr="Riquadro con nome condivisione, richiesto da, note, scadenza, data e autore della creazione" title="Figura 3 - Riepilogo della condivisione seleziona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63a8f67-812b-4eae-8cfb-fb9cc64cdc9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777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55555"/>
          <w:sz w:val="18"/>
        </w:rPr>
        <w:t>Figura 3 - Riepilogo della condivisione selezionata.</w:t>
      </w:r>
    </w:p>
    <w:p>
      <w:r>
        <w:t>Il riquadro di destra riepiloga:</w:t>
      </w:r>
    </w:p>
    <w:p>
      <w:pPr>
        <w:pStyle w:val="ListBullet"/>
      </w:pPr>
      <w:r>
        <w:t>nome della condivisione selezionata;</w:t>
      </w:r>
    </w:p>
    <w:p>
      <w:pPr>
        <w:pStyle w:val="ListBullet"/>
      </w:pPr>
      <w:r>
        <w:t>nominativo di chi ha richiesto la condivisione;</w:t>
      </w:r>
    </w:p>
    <w:p>
      <w:pPr>
        <w:pStyle w:val="ListBullet"/>
      </w:pPr>
      <w:r>
        <w:t>note operative;</w:t>
      </w:r>
    </w:p>
    <w:p>
      <w:pPr>
        <w:pStyle w:val="ListBullet"/>
      </w:pPr>
      <w:r>
        <w:t>scadenza, se presente;</w:t>
      </w:r>
    </w:p>
    <w:p>
      <w:pPr>
        <w:pStyle w:val="ListBullet"/>
      </w:pPr>
      <w:r>
        <w:t>data di creazione e autore della cartella.</w:t>
      </w:r>
    </w:p>
    <w:p>
      <w:r>
        <w:br w:type="page"/>
      </w:r>
    </w:p>
    <w:p>
      <w:pPr>
        <w:pStyle w:val="Heading1"/>
      </w:pPr>
      <w:r>
        <w:t>6. Invitare uno o più utenti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Aprire gli inviti</w:t>
        <w:br/>
      </w:r>
      <w:r>
        <w:rPr>
          <w:rFonts w:ascii="Aptos" w:hAnsi="Aptos"/>
          <w:color w:val="212121"/>
        </w:rPr>
        <w:t>Con una condivisione aperta, fare clic su “Aggiungi utente”.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Inserire le email</w:t>
        <w:br/>
      </w:r>
      <w:r>
        <w:rPr>
          <w:rFonts w:ascii="Aptos" w:hAnsi="Aptos"/>
          <w:color w:val="212121"/>
        </w:rPr>
        <w:t>Scrivere uno o più indirizzi, uno per riga oppure separati da virgola o punto e virgola.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Scegliere il ruolo</w:t>
        <w:br/>
      </w:r>
      <w:r>
        <w:rPr>
          <w:rFonts w:ascii="Aptos" w:hAnsi="Aptos"/>
          <w:color w:val="212121"/>
        </w:rPr>
        <w:t>Impostare il ruolo predefinito e premere “Aggiungi”. È possibile cambiare Lettura/Scrittura per ogni riga.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4. Aggiungere il messaggio</w:t>
        <w:br/>
      </w:r>
      <w:r>
        <w:rPr>
          <w:rFonts w:ascii="Aptos" w:hAnsi="Aptos"/>
          <w:color w:val="212121"/>
        </w:rPr>
        <w:t>Se utile, compilare il messaggio comune che accompagnerà l’invito SharePoint.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5. Inviare</w:t>
        <w:br/>
      </w:r>
      <w:r>
        <w:rPr>
          <w:rFonts w:ascii="Aptos" w:hAnsi="Aptos"/>
          <w:color w:val="212121"/>
        </w:rPr>
        <w:t>Ricontrollare ogni indirizzo e ruolo; quindi premere “Invia inviti”. L’app mostra un riepilogo degli invii riusciti e degli eventuali errori.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982308"/>
            <wp:docPr id="5" name="Picture 5" descr="Finestra di invito utenti con indirizzi email, ruoli, messaggio e pulsante invia inviti" title="Figura 4 - Invito multiplo: elenco destinatari, ruolo e messaggio comu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bb3781c-145d-4a40-bf19-9f6804326f8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8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555555"/>
          <w:sz w:val="18"/>
        </w:rPr>
        <w:t>Figura 4 - Invito multiplo: elenco destinatari, ruolo e messaggio comune.</w:t>
      </w: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Utenti esterni  </w:t>
      </w:r>
      <w:r>
        <w:rPr>
          <w:rFonts w:ascii="Aptos" w:hAnsi="Aptos"/>
          <w:color w:val="212121"/>
        </w:rPr>
        <w:t>Gli indirizzi con dominio diverso da quello dello Studio sono evidenziati nella dashboard. Verificare con particolare attenzione identità, necessità dell’accesso e ruolo assegnato.</w:t>
      </w:r>
    </w:p>
    <w:p>
      <w:pPr>
        <w:pStyle w:val="Heading1"/>
      </w:pPr>
      <w:r>
        <w:t>7. Ruoli disponibili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960"/>
        <w:gridCol w:w="3671"/>
      </w:tblGrid>
      <w:tr>
        <w:trPr>
          <w:tblHeader w:val="true"/>
          <w:cantSplit/>
        </w:trPr>
        <w:tc>
          <w:tcPr>
            <w:tcW w:type="dxa" w:w="172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396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Consente</w:t>
            </w:r>
          </w:p>
        </w:tc>
        <w:tc>
          <w:tcPr>
            <w:tcW w:type="dxa" w:w="3671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Quando usarlo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Lettura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Consultazione dei contenuti secondo le capacità SharePoint applicabili.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Destinatari che non devono modificare i documenti.</w:t>
            </w:r>
          </w:p>
        </w:tc>
      </w:tr>
      <w:tr>
        <w:trPr>
          <w:cantSplit/>
        </w:trPr>
        <w:tc>
          <w:tcPr>
            <w:tcW w:type="dxa" w:w="172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Scrittura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Consultazione, caricamento e modifica dei contenuti secondo SharePoint.</w:t>
            </w:r>
          </w:p>
        </w:tc>
        <w:tc>
          <w:tcPr>
            <w:tcW w:type="dxa" w:w="3671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Collaboratori che devono aggiungere o aggiornare documenti.</w:t>
            </w:r>
          </w:p>
        </w:tc>
      </w:tr>
    </w:tbl>
    <w:p>
      <w:pPr>
        <w:spacing w:after="20"/>
      </w:pP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Principio del minimo privilegio  </w:t>
      </w:r>
      <w:r>
        <w:rPr>
          <w:rFonts w:ascii="Aptos" w:hAnsi="Aptos"/>
          <w:color w:val="212121"/>
        </w:rPr>
        <w:t>Usare Lettura quando la modifica dei documenti non è necessaria. La modalità “No download” non è implementata nella versione corrente.</w:t>
      </w:r>
    </w:p>
    <w:p>
      <w:pPr>
        <w:pStyle w:val="Heading1"/>
      </w:pPr>
      <w:r>
        <w:t>8. Modificare un ruolo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Selezionare l’utente</w:t>
        <w:br/>
      </w:r>
      <w:r>
        <w:rPr>
          <w:rFonts w:ascii="Aptos" w:hAnsi="Aptos"/>
          <w:color w:val="212121"/>
        </w:rPr>
        <w:t>Fare clic sulla riga del destinatario nell’elenco Accessi alla condivisione.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Aprire la modifica</w:t>
        <w:br/>
      </w:r>
      <w:r>
        <w:rPr>
          <w:rFonts w:ascii="Aptos" w:hAnsi="Aptos"/>
          <w:color w:val="212121"/>
        </w:rPr>
        <w:t>Premere “Modifica ruolo”.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Salvare</w:t>
        <w:br/>
      </w:r>
      <w:r>
        <w:rPr>
          <w:rFonts w:ascii="Aptos" w:hAnsi="Aptos"/>
          <w:color w:val="212121"/>
        </w:rPr>
        <w:t>Scegliere Lettura o Scrittura e confermare. La variazione viene registrata nell’audit.</w:t>
      </w:r>
    </w:p>
    <w:p>
      <w:r>
        <w:br w:type="page"/>
      </w:r>
    </w:p>
    <w:p>
      <w:pPr>
        <w:pStyle w:val="Heading1"/>
      </w:pPr>
      <w:r>
        <w:t>9. Rimuovere un singolo utente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Selezionare</w:t>
        <w:br/>
      </w:r>
      <w:r>
        <w:rPr>
          <w:rFonts w:ascii="Aptos" w:hAnsi="Aptos"/>
          <w:color w:val="212121"/>
        </w:rPr>
        <w:t>Fare clic sulla riga dell’utente da rimuovere.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Rimuovere</w:t>
        <w:br/>
      </w:r>
      <w:r>
        <w:rPr>
          <w:rFonts w:ascii="Aptos" w:hAnsi="Aptos"/>
          <w:color w:val="212121"/>
        </w:rPr>
        <w:t>Premere “Rimuovi”.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Controllare la conferma</w:t>
        <w:br/>
      </w:r>
      <w:r>
        <w:rPr>
          <w:rFonts w:ascii="Aptos" w:hAnsi="Aptos"/>
          <w:color w:val="212121"/>
        </w:rPr>
        <w:t>Il popup riepiloga utente, email, ruolo e condivisione. Premere “Sì” soltanto dopo aver verificato tutti i dati.</w:t>
      </w: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Effetto  </w:t>
      </w:r>
      <w:r>
        <w:rPr>
          <w:rFonts w:ascii="Aptos" w:hAnsi="Aptos"/>
          <w:color w:val="212121"/>
        </w:rPr>
        <w:t>Il comando rimuove il singolo accesso selezionato. Può essere usato sia per utenti interni sia per utenti esterni.</w:t>
      </w:r>
    </w:p>
    <w:p>
      <w:pPr>
        <w:pStyle w:val="Heading1"/>
      </w:pPr>
      <w:r>
        <w:t>10. Modificare i dati della condivisione</w:t>
      </w:r>
    </w:p>
    <w:p>
      <w:r>
        <w:t>Fare clic su “Modifica condivisione” per aggiornare:</w:t>
      </w:r>
    </w:p>
    <w:p>
      <w:pPr>
        <w:pStyle w:val="ListBullet"/>
      </w:pPr>
      <w:r>
        <w:t>nome della condivisione;</w:t>
      </w:r>
    </w:p>
    <w:p>
      <w:pPr>
        <w:pStyle w:val="ListBullet"/>
      </w:pPr>
      <w:r>
        <w:t>richiedente;</w:t>
      </w:r>
    </w:p>
    <w:p>
      <w:pPr>
        <w:pStyle w:val="ListBullet"/>
      </w:pPr>
      <w:r>
        <w:t>note;</w:t>
      </w:r>
    </w:p>
    <w:p>
      <w:pPr>
        <w:pStyle w:val="ListBullet"/>
      </w:pPr>
      <w:r>
        <w:t>scadenza.</w:t>
      </w:r>
    </w:p>
    <w:p>
      <w:r>
        <w:t>Per eliminare una scadenza già impostata, disattivare l’opzione relativa e salvare. Ogni variazione significativa viene registrata nell’audit.</w:t>
      </w:r>
    </w:p>
    <w:p>
      <w:pPr>
        <w:pStyle w:val="Heading1"/>
      </w:pPr>
      <w:r>
        <w:t>11. Inviare nuovamente il link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1. Aprire la selezione</w:t>
        <w:br/>
      </w:r>
      <w:r>
        <w:rPr>
          <w:rFonts w:ascii="Aptos" w:hAnsi="Aptos"/>
          <w:color w:val="212121"/>
        </w:rPr>
        <w:t>Premere “Invia link” nella condivisione selezionata.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2. Scegliere i destinatari</w:t>
        <w:br/>
      </w:r>
      <w:r>
        <w:rPr>
          <w:rFonts w:ascii="Aptos" w:hAnsi="Aptos"/>
          <w:color w:val="212121"/>
        </w:rPr>
        <w:t>La finestra mostra esclusivamente gli indirizzi che possiedono già un accesso. Spuntare una o più email.</w:t>
      </w:r>
    </w:p>
    <w:p>
      <w:pPr>
        <w:pStyle w:val="Instruction"/>
        <w:shd w:fill="F2F4F7"/>
        <w:pBdr>
          <w:left w:val="single" w:sz="18" w:color="355E8B"/>
        </w:pBdr>
      </w:pPr>
      <w:r>
        <w:rPr>
          <w:rFonts w:ascii="Aptos" w:hAnsi="Aptos"/>
          <w:b/>
          <w:color w:val="355E8B"/>
          <w:sz w:val="22"/>
        </w:rPr>
        <w:t>3. Inviare</w:t>
        <w:br/>
      </w:r>
      <w:r>
        <w:rPr>
          <w:rFonts w:ascii="Aptos" w:hAnsi="Aptos"/>
          <w:color w:val="212121"/>
        </w:rPr>
        <w:t>Premere “Invia”. L’app spedisce un messaggio separato a ciascun destinatario selezionato e registra ogni esito.</w:t>
      </w:r>
    </w:p>
    <w:p>
      <w:pPr>
        <w:pStyle w:val="Instruction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Importante  </w:t>
      </w:r>
      <w:r>
        <w:rPr>
          <w:rFonts w:ascii="Aptos" w:hAnsi="Aptos"/>
          <w:color w:val="212121"/>
        </w:rPr>
        <w:t>“Invia link” non concede un nuovo accesso. Se l’indirizzo non compare nell’elenco, usare “Aggiungi utente”.</w:t>
      </w:r>
    </w:p>
    <w:p>
      <w:pPr>
        <w:pStyle w:val="Heading1"/>
      </w:pPr>
      <w:r>
        <w:t>12. Revocare gli accessi esterni</w:t>
      </w:r>
    </w:p>
    <w:p>
      <w:r>
        <w:t>Il pulsante fucsia “Revoca accessi” chiude la condivisione esterna della condivisione:</w:t>
      </w:r>
    </w:p>
    <w:p>
      <w:pPr>
        <w:pStyle w:val="ListBullet"/>
      </w:pPr>
      <w:r>
        <w:t>rimuove soltanto gli accessi esterni diretti non-owner;</w:t>
      </w:r>
    </w:p>
    <w:p>
      <w:pPr>
        <w:pStyle w:val="ListBullet"/>
      </w:pPr>
      <w:r>
        <w:t>non elimina la cartella o i documenti;</w:t>
      </w:r>
    </w:p>
    <w:p>
      <w:pPr>
        <w:pStyle w:val="ListBullet"/>
      </w:pPr>
      <w:r>
        <w:t>non rimuove utenti interni, gruppi o owner;</w:t>
      </w:r>
    </w:p>
    <w:p>
      <w:pPr>
        <w:pStyle w:val="ListBullet"/>
      </w:pPr>
      <w:r>
        <w:t>gli utenti interni possono essere rimossi soltanto manualmente con “Rimuovi”.</w:t>
      </w: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Azione invasiva  </w:t>
      </w:r>
      <w:r>
        <w:rPr>
          <w:rFonts w:ascii="Aptos" w:hAnsi="Aptos"/>
          <w:color w:val="212121"/>
        </w:rPr>
        <w:t>Leggere attentamente il popup di conferma. Dopo la revoca, un esterno potrà rientrare solo se nuovamente invitato.</w:t>
      </w:r>
    </w:p>
    <w:p>
      <w:r>
        <w:br w:type="page"/>
      </w:r>
    </w:p>
    <w:p>
      <w:pPr>
        <w:pStyle w:val="Heading1"/>
      </w:pPr>
      <w:r>
        <w:t>13. Gestire le condivisioni scadute</w:t>
      </w:r>
    </w:p>
    <w:p>
      <w:r>
        <w:t>Dopo il collegamento, l’app può segnalare condivisioni con scadenza superata e accessi esterni ancora presenti.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684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Effetto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Non ora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Chiude l’avviso senza modificare gli accessi.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Chiudi selezionata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gli accessi esterni della sola condivisione evidenziata.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Chiudi tutte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gli accessi esterni di tutte le condivisioni scadute elencate.</w:t>
            </w:r>
          </w:p>
        </w:tc>
      </w:tr>
    </w:tbl>
    <w:p>
      <w:pPr>
        <w:spacing w:after="20"/>
      </w:pPr>
    </w:p>
    <w:p>
      <w:pPr>
        <w:pStyle w:val="Instruction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Gli interni restano autorizzati  </w:t>
      </w:r>
      <w:r>
        <w:rPr>
          <w:rFonts w:ascii="Aptos" w:hAnsi="Aptos"/>
          <w:color w:val="212121"/>
        </w:rPr>
        <w:t>La chiusura per scadenza non rimuove utenti interni. Una condivisione viene considerata chiusa quando non conserva più accessi esterni.</w:t>
      </w:r>
    </w:p>
    <w:p>
      <w:pPr>
        <w:pStyle w:val="Instruction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Controllo all’avvio  </w:t>
      </w:r>
      <w:r>
        <w:rPr>
          <w:rFonts w:ascii="Aptos" w:hAnsi="Aptos"/>
          <w:color w:val="212121"/>
        </w:rPr>
        <w:t>La revoca non è eseguita da un servizio continuo nel cloud: avviene quando l’app viene aperta e l’operatore conferma la chiusura.</w:t>
      </w:r>
    </w:p>
    <w:p>
      <w:pPr>
        <w:pStyle w:val="Heading1"/>
      </w:pPr>
      <w:r>
        <w:t>14. Registro audit e log locale</w:t>
      </w:r>
    </w:p>
    <w:p>
      <w:r>
        <w:t>Questi pulsanti sono visibili soltanto agli utenti appartenenti al gruppo autorizzato.</w:t>
      </w:r>
    </w:p>
    <w:p>
      <w:pPr>
        <w:pStyle w:val="ListBullet"/>
      </w:pPr>
      <w:r>
        <w:t>Registro audit: ricerca e filtra operazioni, condivisione, destinatario, esito e dettagli; contiene anche le prese visione del disclaimer.</w:t>
      </w:r>
    </w:p>
    <w:p>
      <w:pPr>
        <w:pStyle w:val="ListBullet"/>
      </w:pPr>
      <w:r>
        <w:t>Esporta CSV: crea un file consultabile con i risultati visualizzati.</w:t>
      </w:r>
    </w:p>
    <w:p>
      <w:pPr>
        <w:pStyle w:val="ListBullet"/>
      </w:pPr>
      <w:r>
        <w:t>Log locale: mostra informazioni diagnostiche della postazione; non sostituisce il registro centralizzato.</w:t>
      </w:r>
    </w:p>
    <w:p>
      <w:pPr>
        <w:pStyle w:val="Heading1"/>
      </w:pPr>
      <w:r>
        <w:t>15. Buone condivisioni di sicurezza</w:t>
      </w:r>
    </w:p>
    <w:p>
      <w:pPr>
        <w:pStyle w:val="ListBullet"/>
      </w:pPr>
      <w:r>
        <w:t>Non condividere credenziali o codici MFA.</w:t>
      </w:r>
    </w:p>
    <w:p>
      <w:pPr>
        <w:pStyle w:val="ListBullet"/>
      </w:pPr>
      <w:r>
        <w:t>Verificare sempre l’indirizzo completo, soprattutto per domini esterni.</w:t>
      </w:r>
    </w:p>
    <w:p>
      <w:pPr>
        <w:pStyle w:val="ListBullet"/>
      </w:pPr>
      <w:r>
        <w:t>Assegnare Lettura salvo reale necessità di modifica.</w:t>
      </w:r>
    </w:p>
    <w:p>
      <w:pPr>
        <w:pStyle w:val="ListBullet"/>
      </w:pPr>
      <w:r>
        <w:t>Impostare una scadenza quando richiesta dal professionista o dalla policy.</w:t>
      </w:r>
    </w:p>
    <w:p>
      <w:pPr>
        <w:pStyle w:val="ListBullet"/>
      </w:pPr>
      <w:r>
        <w:t>Usare note chiare ma non inserire informazioni eccedenti o non necessarie.</w:t>
      </w:r>
    </w:p>
    <w:p>
      <w:pPr>
        <w:pStyle w:val="ListBullet"/>
      </w:pPr>
      <w:r>
        <w:t>Rimuovere tempestivamente accessi non più necessari.</w:t>
      </w:r>
    </w:p>
    <w:p>
      <w:pPr>
        <w:pStyle w:val="ListBullet"/>
      </w:pPr>
      <w:r>
        <w:t>Segnalare errori, accessi anomali o destinatari errati secondo la procedura dello Studio.</w:t>
      </w:r>
    </w:p>
    <w:p>
      <w:pPr>
        <w:pStyle w:val="ListBullet"/>
      </w:pPr>
      <w:r>
        <w:t>Non cancellare condivisioni o cartelle: la cancellazione è riservata agli amministratori direttamente in SharePoint.</w:t>
      </w:r>
    </w:p>
    <w:p>
      <w:r>
        <w:br w:type="page"/>
      </w:r>
    </w:p>
    <w:p>
      <w:pPr>
        <w:pStyle w:val="Heading1"/>
      </w:pPr>
      <w:r>
        <w:t>16. Problemi comuni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6408"/>
      </w:tblGrid>
      <w:tr>
        <w:trPr>
          <w:tblHeader w:val="true"/>
          <w:cantSplit/>
        </w:trPr>
        <w:tc>
          <w:tcPr>
            <w:tcW w:type="dxa" w:w="2951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640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Cosa fare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Microsoft 365 non connesso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Controllare rete, completare l’accesso e riprovare. Se persiste, contattare l’assistenza.</w:t>
            </w:r>
          </w:p>
        </w:tc>
      </w:tr>
      <w:tr>
        <w:trPr>
          <w:cantSplit/>
        </w:trPr>
        <w:tc>
          <w:tcPr>
            <w:tcW w:type="dxa" w:w="2951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Pulsanti disattivati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Attendere il completamento del caricamento e aprire una condivisione quando il comando richiede una selezione.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Utente non presente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Aggiornare/riaprire la condivisione. Per un nuovo destinatario usare Aggiungi utente.</w:t>
            </w:r>
          </w:p>
        </w:tc>
      </w:tr>
      <w:tr>
        <w:trPr>
          <w:cantSplit/>
        </w:trPr>
        <w:tc>
          <w:tcPr>
            <w:tcW w:type="dxa" w:w="2951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Invito non ricevuto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Verificare indirizzo, spam/quarantena ed esito mostrato dall’app; se necessario reinviare il link a un utente già autorizzato.</w:t>
            </w:r>
          </w:p>
        </w:tc>
      </w:tr>
      <w:tr>
        <w:trPr>
          <w:cantSplit/>
        </w:trP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Errore durante una modifica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Annotare il testo completo del messaggio e la condivisione interessata; non ripetere più volte un’azione invasiva senza verifica.</w:t>
            </w:r>
          </w:p>
        </w:tc>
      </w:tr>
      <w:tr>
        <w:trPr>
          <w:cantSplit/>
        </w:trPr>
        <w:tc>
          <w:tcPr>
            <w:tcW w:type="dxa" w:w="2951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Scadenza errata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Usare Modifica condivisione per correggerla o rimuoverla.</w:t>
            </w:r>
          </w:p>
        </w:tc>
      </w:tr>
    </w:tbl>
    <w:p>
      <w:pPr>
        <w:spacing w:after="20"/>
      </w:pPr>
    </w:p>
    <w:p>
      <w:pPr>
        <w:pStyle w:val="Heading1"/>
      </w:pPr>
      <w:r>
        <w:t>17. Promemoria rapido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0"/>
        <w:gridCol w:w="3960"/>
      </w:tblGrid>
      <w:tr>
        <w:trPr>
          <w:tblHeader w:val="true"/>
          <w:cantSplit/>
        </w:trPr>
        <w:tc>
          <w:tcPr>
            <w:tcW w:type="dxa" w:w="540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Obiettivo</w:t>
            </w:r>
          </w:p>
        </w:tc>
        <w:tc>
          <w:tcPr>
            <w:tcW w:type="dxa" w:w="396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</w:tr>
      <w:tr>
        <w:trPr>
          <w:cantSplit/>
        </w:trPr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Creare una cartella associata alla condivisione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Nuova condivisione</w:t>
            </w:r>
          </w:p>
        </w:tc>
      </w:tr>
      <w:tr>
        <w:trPr>
          <w:cantSplit/>
        </w:trPr>
        <w:tc>
          <w:tcPr>
            <w:tcW w:type="dxa" w:w="5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Caricare una condivisione già esistente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Apri esistente</w:t>
            </w:r>
          </w:p>
        </w:tc>
      </w:tr>
      <w:tr>
        <w:trPr>
          <w:cantSplit/>
        </w:trPr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Concedere un nuovo accesso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Aggiungi utente</w:t>
            </w:r>
          </w:p>
        </w:tc>
      </w:tr>
      <w:tr>
        <w:trPr>
          <w:cantSplit/>
        </w:trPr>
        <w:tc>
          <w:tcPr>
            <w:tcW w:type="dxa" w:w="5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Cambiare Lettura/Scrittura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Modifica ruolo</w:t>
            </w:r>
          </w:p>
        </w:tc>
      </w:tr>
      <w:tr>
        <w:trPr>
          <w:cantSplit/>
        </w:trPr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Cambiare note o scadenza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Modifica condivisione</w:t>
            </w:r>
          </w:p>
        </w:tc>
      </w:tr>
      <w:tr>
        <w:trPr>
          <w:cantSplit/>
        </w:trPr>
        <w:tc>
          <w:tcPr>
            <w:tcW w:type="dxa" w:w="5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Eliminare un singolo accesso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Rimuovi</w:t>
            </w:r>
          </w:p>
        </w:tc>
      </w:tr>
      <w:tr>
        <w:trPr>
          <w:cantSplit/>
        </w:trPr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Rimandare il collegamento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Invia link</w:t>
            </w:r>
          </w:p>
        </w:tc>
      </w:tr>
      <w:tr>
        <w:trPr>
          <w:cantSplit/>
        </w:trPr>
        <w:tc>
          <w:tcPr>
            <w:tcW w:type="dxa" w:w="5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Chiudere tutti gli accessi esterni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accessi</w:t>
            </w:r>
          </w:p>
        </w:tc>
      </w:tr>
    </w:tbl>
    <w:p>
      <w:pPr>
        <w:spacing w:after="20"/>
      </w:pPr>
    </w:p>
    <w:p>
      <w:pPr>
        <w:pStyle w:val="Heading1"/>
      </w:pPr>
      <w:r>
        <w:t>18. Assistenza</w:t>
      </w:r>
    </w:p>
    <w:p>
      <w:r>
        <w:t>Quando si richiede assistenza, comunicare:</w:t>
      </w:r>
    </w:p>
    <w:p>
      <w:pPr>
        <w:pStyle w:val="ListBullet"/>
      </w:pPr>
      <w:r>
        <w:t>nome della condivisione;</w:t>
      </w:r>
    </w:p>
    <w:p>
      <w:pPr>
        <w:pStyle w:val="ListBullet"/>
      </w:pPr>
      <w:r>
        <w:t>operazione tentata;</w:t>
      </w:r>
    </w:p>
    <w:p>
      <w:pPr>
        <w:pStyle w:val="ListBullet"/>
      </w:pPr>
      <w:r>
        <w:t>testo completo dell’errore;</w:t>
      </w:r>
    </w:p>
    <w:p>
      <w:pPr>
        <w:pStyle w:val="ListBullet"/>
      </w:pPr>
      <w:r>
        <w:t>data e ora approssimativa;</w:t>
      </w:r>
    </w:p>
    <w:p>
      <w:pPr>
        <w:pStyle w:val="ListBullet"/>
      </w:pPr>
      <w:r>
        <w:t>senza inviare password, codici MFA o documenti riservati non necessari.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55555"/>
        <w:sz w:val="17"/>
      </w:rPr>
      <w:t xml:space="preserve">Giovanardi Studio Legale  •  Uso interno  |  </w:t>
    </w:r>
    <w:r>
      <w:rPr>
        <w:rFonts w:ascii="Aptos" w:hAnsi="Aptos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55555"/>
        <w:sz w:val="17"/>
      </w:rPr>
      <w:t>DATA ROOM  |  MANUALE UTENTE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55E8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E8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47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8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8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before="100" w:after="160" w:line="274" w:lineRule="auto"/>
      <w:ind w:left="259" w:right="259"/>
    </w:pPr>
    <w:rPr>
      <w:rFonts w:ascii="Aptos" w:hAnsi="Aptos"/>
      <w:color w:val="212121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utente — Giovanardi Studio Legale Data Room</dc:title>
  <dc:subject>Istruzioni operative illustrate e anonimizzate</dc:subject>
  <dc:creator>Giovanardi Studio Legale</dc:creator>
  <cp:keywords>Data Room, SharePoint, manuale utente, condivisioni, pratiche</cp:keywords>
  <dc:description>Versione 1.1: schermate aggiornate e dati dimostrativi anonimizzati.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