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TAP HUB</w:t>
      </w:r>
    </w:p>
    <w:p>
      <w:pPr>
        <w:pBdr>
          <w:bottom w:val="single" w:color="1F3A5F" w:sz="8" w:space="6"/>
        </w:pBdr>
        <w:spacing w:after="160"/>
      </w:pPr>
      <w:r>
        <w:rPr>
          <w:color w:val="595959"/>
          <w:sz w:val="20"/>
          <w:szCs w:val="20"/>
        </w:rPr>
        <w:t xml:space="preserve">TAP Associates, LLC  ·  Est. 1999</w:t>
      </w:r>
    </w:p>
    <w:p>
      <w:pPr>
        <w:spacing w:after="20"/>
      </w:pPr>
      <w:r>
        <w:rPr>
          <w:b/>
          <w:bCs/>
          <w:color w:val="1F3A5F"/>
          <w:sz w:val="30"/>
          <w:szCs w:val="30"/>
        </w:rPr>
        <w:t xml:space="preserve">Phase 1 — Build Specification</w:t>
      </w:r>
    </w:p>
    <w:p>
      <w:pPr>
        <w:spacing w:after="120" w:line="276"/>
      </w:pPr>
      <w:r>
        <w:rPr>
          <w:color w:val="595959"/>
          <w:sz w:val="22"/>
          <w:szCs w:val="22"/>
        </w:rPr>
        <w:t xml:space="preserve">Technical &amp; functional spec for the development team</w:t>
      </w:r>
    </w:p>
    <w:p>
      <w:pPr>
        <w:spacing w:after="120" w:line="276"/>
      </w:pPr>
      <w:r>
        <w:t xml:space="preserve">Prepared by </w:t>
      </w:r>
      <w:r>
        <w:rPr>
          <w:b/>
          <w:bCs/>
        </w:rPr>
        <w:t xml:space="preserve">AI Fusion IQ Labs</w:t>
      </w:r>
      <w:r>
        <w:t xml:space="preserve">  for  </w:t>
      </w:r>
      <w:r>
        <w:rPr>
          <w:b/>
          <w:bCs/>
        </w:rPr>
        <w:t xml:space="preserve">Tushar Patil, CPA — TAP Associates, LLC</w:t>
      </w:r>
    </w:p>
    <w:p>
      <w:pPr>
        <w:spacing w:after="120" w:line="276"/>
      </w:pPr>
      <w:r>
        <w:rPr>
          <w:color w:val="595959"/>
        </w:rPr>
        <w:t xml:space="preserve">Contact: ben@aifusioniqlabs.com  ·  (832) 937-4786</w:t>
      </w:r>
    </w:p>
    <w:p>
      <w:pPr>
        <w:spacing w:after="120" w:line="276"/>
      </w:pPr>
      <w:r>
        <w:rPr>
          <w:i/>
          <w:iCs/>
          <w:color w:val="595959"/>
          <w:sz w:val="20"/>
          <w:szCs w:val="20"/>
        </w:rPr>
        <w:t xml:space="preserve">Version 1.1  ·  June 9, 2026  ·  Reflects Demo v7 and schema v2</w:t>
      </w:r>
    </w:p>
    <w:p>
      <w:pPr>
        <w:spacing w:after="80" w:before="80"/>
      </w:pPr>
      <w:r>
        <w:rPr>
          <w:b/>
          <w:bCs/>
          <w:color w:val="1F3A5F"/>
          <w:sz w:val="22"/>
          <w:szCs w:val="22"/>
        </w:rPr>
        <w:t xml:space="preserve">What changed in v1.1</w:t>
      </w:r>
    </w:p>
    <w:p>
      <w:pPr>
        <w:pStyle w:val="ListParagraph"/>
        <w:numPr>
          <w:ilvl w:val="0"/>
          <w:numId w:val="2"/>
        </w:numPr>
        <w:spacing w:after="60" w:line="268"/>
      </w:pPr>
      <w:r>
        <w:t xml:space="preserve">Payroll is now tracked by count per month (like 1099s), not the stage workflow.</w:t>
      </w:r>
    </w:p>
    <w:p>
      <w:pPr>
        <w:pStyle w:val="ListParagraph"/>
        <w:numPr>
          <w:ilvl w:val="0"/>
          <w:numId w:val="2"/>
        </w:numPr>
        <w:spacing w:after="60" w:line="268"/>
      </w:pPr>
      <w:r>
        <w:t xml:space="preserve">Fees and revenue are removed from every worklist and the workload view; billing is a separate, owner-only area.</w:t>
      </w:r>
    </w:p>
    <w:p>
      <w:pPr>
        <w:pStyle w:val="ListParagraph"/>
        <w:numPr>
          <w:ilvl w:val="0"/>
          <w:numId w:val="2"/>
        </w:numPr>
        <w:spacing w:after="60" w:line="268"/>
      </w:pPr>
      <w:r>
        <w:t xml:space="preserve">Worklists and counters can view prior years as read-only history.</w:t>
      </w:r>
    </w:p>
    <w:p>
      <w:pPr>
        <w:pStyle w:val="ListParagraph"/>
        <w:numPr>
          <w:ilvl w:val="0"/>
          <w:numId w:val="2"/>
        </w:numPr>
        <w:spacing w:after="60" w:line="268"/>
      </w:pPr>
      <w:r>
        <w:t xml:space="preserve">Data model aligned to schema v2 (counted services, per-year periods, Users &amp; Access, editable timesheet, vault grouping).</w:t>
      </w:r>
    </w:p>
    <w:p>
      <w:pPr>
        <w:pStyle w:val="ListParagraph"/>
        <w:numPr>
          <w:ilvl w:val="0"/>
          <w:numId w:val="2"/>
        </w:numPr>
        <w:spacing w:after="60" w:line="268"/>
      </w:pPr>
      <w:r>
        <w:t xml:space="preserve">Architecture firmed up: PostgreSQL with app-layer auth, Docker Compose, and a WireGuard / reverse-proxy door.</w:t>
      </w:r>
    </w:p>
    <w:p>
      <w:pPr>
        <w:pStyle w:val="Heading1"/>
      </w:pPr>
      <w:r>
        <w:t xml:space="preserve">1.  Reference Material</w:t>
      </w:r>
    </w:p>
    <w:p>
      <w:pPr>
        <w:pStyle w:val="ListParagraph"/>
        <w:numPr>
          <w:ilvl w:val="0"/>
          <w:numId w:val="2"/>
        </w:numPr>
        <w:spacing w:after="60" w:line="268"/>
      </w:pPr>
      <w:r>
        <w:rPr>
          <w:b/>
          <w:bCs/>
        </w:rPr>
        <w:t xml:space="preserve">Interactive demo (TAP_Client_Hub_Demo_v7.html): </w:t>
      </w:r>
      <w:r>
        <w:t xml:space="preserve">the authoritative UX / behavior reference. A self-contained prototype (vanilla HTML/JS) — it shows intended behavior, not the production codebase.</w:t>
      </w:r>
    </w:p>
    <w:p>
      <w:pPr>
        <w:pStyle w:val="ListParagraph"/>
        <w:numPr>
          <w:ilvl w:val="0"/>
          <w:numId w:val="2"/>
        </w:numPr>
        <w:spacing w:after="60" w:line="268"/>
      </w:pPr>
      <w:r>
        <w:rPr>
          <w:b/>
          <w:bCs/>
        </w:rPr>
        <w:t xml:space="preserve">Data model (tap_client_hub_schema_v2.sql): </w:t>
      </w:r>
      <w:r>
        <w:t xml:space="preserve">the authoritative schema. Already includes Users &amp; Access, counted services (payroll &amp; 1099), the editable timesheet + audit, vault grouping, and per-year periods.</w:t>
      </w:r>
    </w:p>
    <w:p>
      <w:pPr>
        <w:pStyle w:val="ListParagraph"/>
        <w:numPr>
          <w:ilvl w:val="0"/>
          <w:numId w:val="2"/>
        </w:numPr>
        <w:spacing w:after="60" w:line="268"/>
      </w:pPr>
      <w:r>
        <w:rPr>
          <w:b/>
          <w:bCs/>
        </w:rPr>
        <w:t xml:space="preserve">Source data (TO_DO_LIST_REVISED_2025 workbook, 16 tabs): </w:t>
      </w:r>
      <w:r>
        <w:t xml:space="preserve">the legacy system to migrate from.</w:t>
      </w:r>
    </w:p>
    <w:p>
      <w:pPr>
        <w:pStyle w:val="Heading1"/>
      </w:pPr>
      <w:r>
        <w:t xml:space="preserve">2.  Architecture</w:t>
      </w:r>
    </w:p>
    <w:p>
      <w:pPr>
        <w:spacing w:after="120" w:line="276"/>
      </w:pPr>
      <w:r>
        <w:t xml:space="preserve">A right-sized three-tier application on a single on-premise server. Only one tightly controlled door is reachable from outside the office.</w:t>
      </w:r>
    </w:p>
    <w:p>
      <w:pPr>
        <w:pStyle w:val="ListParagraph"/>
        <w:numPr>
          <w:ilvl w:val="0"/>
          <w:numId w:val="2"/>
        </w:numPr>
        <w:spacing w:after="60" w:line="268"/>
      </w:pPr>
      <w:r>
        <w:rPr>
          <w:b/>
          <w:bCs/>
        </w:rPr>
        <w:t xml:space="preserve">Hosting: </w:t>
      </w:r>
      <w:r>
        <w:t xml:space="preserve">on-premise on TAP’s server; application and database on the office LAN; off the public internet.</w:t>
      </w:r>
    </w:p>
    <w:p>
      <w:pPr>
        <w:pStyle w:val="ListParagraph"/>
        <w:numPr>
          <w:ilvl w:val="0"/>
          <w:numId w:val="2"/>
        </w:numPr>
        <w:spacing w:after="60" w:line="268"/>
      </w:pPr>
      <w:r>
        <w:rPr>
          <w:b/>
          <w:bCs/>
        </w:rPr>
        <w:t xml:space="preserve">Components:</w:t>
      </w:r>
    </w:p>
    <w:p>
      <w:pPr>
        <w:pStyle w:val="ListParagraph"/>
        <w:numPr>
          <w:ilvl w:val="1"/>
          <w:numId w:val="2"/>
        </w:numPr>
        <w:spacing w:after="60" w:line="268"/>
      </w:pPr>
      <w:r>
        <w:rPr>
          <w:b/>
          <w:bCs/>
        </w:rPr>
        <w:t xml:space="preserve">Reverse proxy / TLS</w:t>
      </w:r>
      <w:r>
        <w:t xml:space="preserve"> (Caddy or Nginx) — terminates TLS; the only outward-facing component.</w:t>
      </w:r>
    </w:p>
    <w:p>
      <w:pPr>
        <w:pStyle w:val="ListParagraph"/>
        <w:numPr>
          <w:ilvl w:val="1"/>
          <w:numId w:val="2"/>
        </w:numPr>
        <w:spacing w:after="60" w:line="268"/>
      </w:pPr>
      <w:r>
        <w:rPr>
          <w:b/>
          <w:bCs/>
        </w:rPr>
        <w:t xml:space="preserve">Application server</w:t>
      </w:r>
      <w:r>
        <w:t xml:space="preserve"> — login, sessions, MFA, and business logic; sets the per-request database identity that row-level security reads.</w:t>
      </w:r>
    </w:p>
    <w:p>
      <w:pPr>
        <w:pStyle w:val="ListParagraph"/>
        <w:numPr>
          <w:ilvl w:val="1"/>
          <w:numId w:val="2"/>
        </w:numPr>
        <w:spacing w:after="60" w:line="268"/>
      </w:pPr>
      <w:r>
        <w:rPr>
          <w:b/>
          <w:bCs/>
        </w:rPr>
        <w:t xml:space="preserve">PostgreSQL 16</w:t>
      </w:r>
      <w:r>
        <w:t xml:space="preserve"> — data + row-level security. Bound to localhost / the internal container network; the database is never published to any network port.</w:t>
      </w:r>
    </w:p>
    <w:p>
      <w:pPr>
        <w:pStyle w:val="ListParagraph"/>
        <w:numPr>
          <w:ilvl w:val="0"/>
          <w:numId w:val="2"/>
        </w:numPr>
        <w:spacing w:after="60" w:line="268"/>
      </w:pPr>
      <w:r>
        <w:rPr>
          <w:b/>
          <w:bCs/>
        </w:rPr>
        <w:t xml:space="preserve">US office access: </w:t>
      </w:r>
      <w:r>
        <w:t xml:space="preserve">over the local network.</w:t>
      </w:r>
    </w:p>
    <w:p>
      <w:pPr>
        <w:pStyle w:val="ListParagraph"/>
        <w:numPr>
          <w:ilvl w:val="0"/>
          <w:numId w:val="2"/>
        </w:numPr>
        <w:spacing w:after="60" w:line="268"/>
      </w:pPr>
      <w:r>
        <w:rPr>
          <w:b/>
          <w:bCs/>
        </w:rPr>
        <w:t xml:space="preserve">India access: </w:t>
      </w:r>
      <w:r>
        <w:t xml:space="preserve">one controlled door (see Section 6) — recommended WireGuard VPN (the app never faces the internet), or a hardened reverse proxy with an IP allow-list. The Offshore role is view-restricted.</w:t>
      </w:r>
    </w:p>
    <w:p>
      <w:pPr>
        <w:pStyle w:val="ListParagraph"/>
        <w:numPr>
          <w:ilvl w:val="0"/>
          <w:numId w:val="2"/>
        </w:numPr>
        <w:spacing w:after="60" w:line="268"/>
      </w:pPr>
      <w:r>
        <w:rPr>
          <w:b/>
          <w:bCs/>
        </w:rPr>
        <w:t xml:space="preserve">Stack decision (resolves the prior open item): </w:t>
      </w:r>
      <w:r>
        <w:t xml:space="preserve">plain PostgreSQL with app-layer authentication. Passwords are hashed with argon2id; the database stores no plaintext. RLS uses a per-connection identity (e.g. SET app.user_id), already provided for in schema v2. Self-hosted Supabase is an acceptable alternative if the developer prefers it, accepting its heavier multi-container footprint.</w:t>
      </w:r>
    </w:p>
    <w:p>
      <w:pPr>
        <w:pStyle w:val="ListParagraph"/>
        <w:numPr>
          <w:ilvl w:val="0"/>
          <w:numId w:val="2"/>
        </w:numPr>
        <w:spacing w:after="60" w:line="268"/>
      </w:pPr>
      <w:r>
        <w:rPr>
          <w:b/>
          <w:bCs/>
        </w:rPr>
        <w:t xml:space="preserve">Orchestration: </w:t>
      </w:r>
      <w:r>
        <w:t xml:space="preserve">Docker Compose on the single host — services: reverse proxy, app, postgres, and an optional backup sidecar. The one compose file is the deliverable that makes the system ownable and reproducible. Pin image digests and keep saved image archives so it can be reinstalled offline (no external dependency at runtime). Kubernetes / Swarm are unnecessary at this scale.</w:t>
      </w:r>
    </w:p>
    <w:p>
      <w:pPr>
        <w:pStyle w:val="ListParagraph"/>
        <w:numPr>
          <w:ilvl w:val="0"/>
          <w:numId w:val="2"/>
        </w:numPr>
        <w:spacing w:after="60" w:line="268"/>
      </w:pPr>
      <w:r>
        <w:rPr>
          <w:b/>
          <w:bCs/>
        </w:rPr>
        <w:t xml:space="preserve">Data &amp; backups: </w:t>
      </w:r>
      <w:r>
        <w:t xml:space="preserve">Postgres data on a named volume; nightly dump + WAL archiving for point-in-time recovery; at least one copy kept off the server (TAP-operated).</w:t>
      </w:r>
    </w:p>
    <w:p>
      <w:pPr>
        <w:pStyle w:val="ListParagraph"/>
        <w:numPr>
          <w:ilvl w:val="0"/>
          <w:numId w:val="2"/>
        </w:numPr>
        <w:spacing w:after="60" w:line="268"/>
      </w:pPr>
      <w:r>
        <w:t xml:space="preserve">Final stack details are the developer’s call provided the security requirements (Section 6) are met.</w:t>
      </w:r>
    </w:p>
    <w:p>
      <w:pPr>
        <w:pStyle w:val="Heading1"/>
      </w:pPr>
      <w:r>
        <w:t xml:space="preserve">3.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C9D2DD" w:sz="1"/>
              <w:left w:val="single" w:color="C9D2DD" w:sz="1"/>
              <w:bottom w:val="single" w:color="C9D2DD" w:sz="1"/>
              <w:right w:val="single" w:color="C9D2DD" w:sz="1"/>
            </w:tcBorders>
            <w:shd w:fill="1F3A5F" w:color="auto" w:val="clear"/>
            <w:tcMar>
              <w:top w:type="dxa" w:w="70"/>
              <w:left w:type="dxa" w:w="110"/>
              <w:bottom w:type="dxa" w:w="70"/>
              <w:right w:type="dxa" w:w="110"/>
            </w:tcMar>
            <w:vAlign w:val="top"/>
          </w:tcPr>
          <w:p>
            <w:pPr>
              <w:spacing w:after="0" w:line="264"/>
            </w:pPr>
            <w:r>
              <w:rPr>
                <w:b/>
                <w:bCs/>
                <w:color w:val="FFFFFF"/>
                <w:sz w:val="20"/>
                <w:szCs w:val="20"/>
              </w:rPr>
              <w:t xml:space="preserve">Role</w:t>
            </w:r>
          </w:p>
        </w:tc>
        <w:tc>
          <w:tcPr>
            <w:tcW w:type="dxa" w:w="2600"/>
            <w:tcBorders>
              <w:top w:val="single" w:color="C9D2DD" w:sz="1"/>
              <w:left w:val="single" w:color="C9D2DD" w:sz="1"/>
              <w:bottom w:val="single" w:color="C9D2DD" w:sz="1"/>
              <w:right w:val="single" w:color="C9D2DD" w:sz="1"/>
            </w:tcBorders>
            <w:shd w:fill="1F3A5F" w:color="auto" w:val="clear"/>
            <w:tcMar>
              <w:top w:type="dxa" w:w="70"/>
              <w:left w:type="dxa" w:w="110"/>
              <w:bottom w:type="dxa" w:w="70"/>
              <w:right w:type="dxa" w:w="110"/>
            </w:tcMar>
            <w:vAlign w:val="top"/>
          </w:tcPr>
          <w:p>
            <w:pPr>
              <w:spacing w:after="0" w:line="264"/>
            </w:pPr>
            <w:r>
              <w:rPr>
                <w:b/>
                <w:bCs/>
                <w:color w:val="FFFFFF"/>
                <w:sz w:val="20"/>
                <w:szCs w:val="20"/>
              </w:rPr>
              <w:t xml:space="preserve">Fees &amp; billing</w:t>
            </w:r>
          </w:p>
        </w:tc>
        <w:tc>
          <w:tcPr>
            <w:tcW w:type="dxa" w:w="5060"/>
            <w:tcBorders>
              <w:top w:val="single" w:color="C9D2DD" w:sz="1"/>
              <w:left w:val="single" w:color="C9D2DD" w:sz="1"/>
              <w:bottom w:val="single" w:color="C9D2DD" w:sz="1"/>
              <w:right w:val="single" w:color="C9D2DD" w:sz="1"/>
            </w:tcBorders>
            <w:shd w:fill="1F3A5F" w:color="auto" w:val="clear"/>
            <w:tcMar>
              <w:top w:type="dxa" w:w="70"/>
              <w:left w:type="dxa" w:w="110"/>
              <w:bottom w:type="dxa" w:w="70"/>
              <w:right w:type="dxa" w:w="110"/>
            </w:tcMar>
            <w:vAlign w:val="top"/>
          </w:tcPr>
          <w:p>
            <w:pPr>
              <w:spacing w:after="0" w:line="264"/>
            </w:pPr>
            <w:r>
              <w:rPr>
                <w:b/>
                <w:bCs/>
                <w:color w:val="FFFFFF"/>
                <w:sz w:val="20"/>
                <w:szCs w:val="20"/>
              </w:rPr>
              <w:t xml:space="preserve">Access</w:t>
            </w:r>
          </w:p>
        </w:tc>
      </w:tr>
      <w:tr>
        <w:tc>
          <w:tcPr>
            <w:tcW w:type="dxa" w:w="17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Owner / Admin</w:t>
            </w:r>
          </w:p>
        </w:tc>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Owner-only billing area (never inside worklists or workload)</w:t>
            </w:r>
          </w:p>
        </w:tc>
        <w:tc>
          <w:tcPr>
            <w:tcW w:type="dxa" w:w="50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Everything: Users &amp; Access, the vault, the billing area, all worklists, all years.</w:t>
            </w:r>
          </w:p>
        </w:tc>
      </w:tr>
      <w:tr>
        <w:tc>
          <w:tcPr>
            <w:tcW w:type="dxa" w:w="17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Manager</w:t>
            </w:r>
          </w:p>
        </w:tc>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None</w:t>
            </w:r>
          </w:p>
        </w:tc>
        <w:tc>
          <w:tcPr>
            <w:tcW w:type="dxa" w:w="50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All client worklists, timesheet, team workload (own team), vault per permission.</w:t>
            </w:r>
          </w:p>
        </w:tc>
      </w:tr>
      <w:tr>
        <w:tc>
          <w:tcPr>
            <w:tcW w:type="dxa" w:w="17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Staff</w:t>
            </w:r>
          </w:p>
        </w:tc>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None</w:t>
            </w:r>
          </w:p>
        </w:tc>
        <w:tc>
          <w:tcPr>
            <w:tcW w:type="dxa" w:w="50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Assigned client worklists and own timesheet; module set per profile. No Users module.</w:t>
            </w:r>
          </w:p>
        </w:tc>
      </w:tr>
      <w:tr>
        <w:tc>
          <w:tcPr>
            <w:tcW w:type="dxa" w:w="17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Offshore (web door)</w:t>
            </w:r>
          </w:p>
        </w:tc>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None</w:t>
            </w:r>
          </w:p>
        </w:tc>
        <w:tc>
          <w:tcPr>
            <w:tcW w:type="dxa" w:w="50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View-restricted to assigned worklists and own timesheet. No vault, no bank links, no billing. MFA + door controls enforced.</w:t>
            </w:r>
          </w:p>
        </w:tc>
      </w:tr>
    </w:tbl>
    <w:p>
      <w:pPr>
        <w:spacing w:after="40"/>
      </w:pPr>
      <w:r>
        <w:t xml:space="preserve"/>
      </w:r>
    </w:p>
    <w:p>
      <w:pPr>
        <w:spacing w:after="120" w:line="276"/>
      </w:pPr>
      <w:r>
        <w:rPr>
          <w:sz w:val="21"/>
          <w:szCs w:val="21"/>
        </w:rPr>
        <w:t xml:space="preserve">Module visibility is data-driven — each profile carries the modules it may open (Section 5.7). Fees and revenue never appear in any worklist or the workload view for any role; billing lives only in the owner-only area (Section 5.9).</w:t>
      </w:r>
    </w:p>
    <w:p>
      <w:pPr>
        <w:pStyle w:val="Heading1"/>
      </w:pPr>
      <w:r>
        <w:t xml:space="preserve">4.  Data Model</w:t>
      </w:r>
    </w:p>
    <w:p>
      <w:pPr>
        <w:spacing w:after="120" w:line="276"/>
      </w:pPr>
      <w:r>
        <w:t xml:space="preserve">Schema v2 is authoritative. Each service is tracked one of two ways via </w:t>
      </w:r>
      <w:r>
        <w:rPr>
          <w:b/>
          <w:bCs/>
        </w:rPr>
        <w:t xml:space="preserve">services.tracking</w:t>
      </w:r>
      <w:r>
        <w:t xml:space="preserve">: </w:t>
      </w:r>
      <w:r>
        <w:rPr>
          <w:b/>
          <w:bCs/>
        </w:rPr>
        <w:t xml:space="preserve">stage</w:t>
      </w:r>
      <w:r>
        <w:t xml:space="preserve"> (Financials, Sales Tax, Renditions) or </w:t>
      </w:r>
      <w:r>
        <w:rPr>
          <w:b/>
          <w:bCs/>
        </w:rPr>
        <w:t xml:space="preserve">count</w:t>
      </w:r>
      <w:r>
        <w:t xml:space="preserve"> (Payroll, 1099s). Key tables and notable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DD" w:sz="1"/>
              <w:left w:val="single" w:color="C9D2DD" w:sz="1"/>
              <w:bottom w:val="single" w:color="C9D2DD" w:sz="1"/>
              <w:right w:val="single" w:color="C9D2DD" w:sz="1"/>
            </w:tcBorders>
            <w:shd w:fill="1F3A5F" w:color="auto" w:val="clear"/>
            <w:tcMar>
              <w:top w:type="dxa" w:w="70"/>
              <w:left w:type="dxa" w:w="110"/>
              <w:bottom w:type="dxa" w:w="70"/>
              <w:right w:type="dxa" w:w="110"/>
            </w:tcMar>
            <w:vAlign w:val="top"/>
          </w:tcPr>
          <w:p>
            <w:pPr>
              <w:spacing w:after="0" w:line="264"/>
            </w:pPr>
            <w:r>
              <w:rPr>
                <w:b/>
                <w:bCs/>
                <w:color w:val="FFFFFF"/>
                <w:sz w:val="20"/>
                <w:szCs w:val="20"/>
              </w:rPr>
              <w:t xml:space="preserve">Table</w:t>
            </w:r>
          </w:p>
        </w:tc>
        <w:tc>
          <w:tcPr>
            <w:tcW w:type="dxa" w:w="6760"/>
            <w:tcBorders>
              <w:top w:val="single" w:color="C9D2DD" w:sz="1"/>
              <w:left w:val="single" w:color="C9D2DD" w:sz="1"/>
              <w:bottom w:val="single" w:color="C9D2DD" w:sz="1"/>
              <w:right w:val="single" w:color="C9D2DD" w:sz="1"/>
            </w:tcBorders>
            <w:shd w:fill="1F3A5F" w:color="auto" w:val="clear"/>
            <w:tcMar>
              <w:top w:type="dxa" w:w="70"/>
              <w:left w:type="dxa" w:w="110"/>
              <w:bottom w:type="dxa" w:w="70"/>
              <w:right w:type="dxa" w:w="110"/>
            </w:tcMar>
            <w:vAlign w:val="top"/>
          </w:tcPr>
          <w:p>
            <w:pPr>
              <w:spacing w:after="0" w:line="264"/>
            </w:pPr>
            <w:r>
              <w:rPr>
                <w:b/>
                <w:bCs/>
                <w:color w:val="FFFFFF"/>
                <w:sz w:val="20"/>
                <w:szCs w:val="20"/>
              </w:rPr>
              <w:t xml:space="preserve">Notable fields &amp; notes</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clients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id, name, type (business / personal), entity_type, group_owner, city / state / zip / address, status (active / soft-deleted), notes. Display client ID auto-derived.</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services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code (FIN / PR / STX / T9 / REND / TAX / RENEWAL), name, tracking (stage | count), active.</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client_services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client_id, service_id, assigned_to, active, frequency, processor (payroll), expected_annual (1099 target). One row per client × service — turning a service on = a row here; every worklist is a filter on this table.</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work_periods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Stage services only: client_service_id, period 'YYYY-MM', stage (not_started | in_progress | waiting_client | prepared | done | na), done_by, done_at. “Delayed” is derived at read time, not stored.</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period_counts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Count services (payroll &amp; 1099): client_service_id, period 'YYYY-MM', processed, expected. Payroll expected per month from cadence; the 1099 annual target lives on client_services.expected_annual.</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time_entries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who, client_id, client_service_id, task, started_at, seconds, edited (bool), edited_by, edited_at. Editable by the owner; corrections audited.</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credentials (vault)</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client_id (null = firm-wide) + group_label, portal, username, vault_ref (pointer to the secret store), is_bank (link-out only, no secret), link_url. Grouped by entity in the UI.</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profiles (users)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id, full_name, role, location, reporting_manager, modules[] (visibility), invite_status (invited | active | disabled), invited_at, last_login_at, active. No password stored — auth handles it.</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client_service_billing + billing_periods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OWNER-ONLY: monthly_fee per service line; per-period amount / invoiced / paid. RLS-protected; never joined into worklists or workload.</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client_tax_ids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Owner / privileged only: ein, ssn_last4.</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support_tickets</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id, user_id, client_ref, area, summary, detail, urgent, status, created_at.</w:t>
            </w:r>
          </w:p>
        </w:tc>
      </w:tr>
      <w:tr>
        <w:tc>
          <w:tcPr>
            <w:tcW w:type="dxa" w:w="260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b/>
                <w:bCs/>
                <w:sz w:val="20"/>
                <w:szCs w:val="20"/>
              </w:rPr>
              <w:t xml:space="preserve">audit_log</w:t>
            </w:r>
          </w:p>
        </w:tc>
        <w:tc>
          <w:tcPr>
            <w:tcW w:type="dxa" w:w="6760"/>
            <w:tcBorders>
              <w:top w:val="single" w:color="C9D2DD" w:sz="1"/>
              <w:left w:val="single" w:color="C9D2DD" w:sz="1"/>
              <w:bottom w:val="single" w:color="C9D2DD" w:sz="1"/>
              <w:right w:val="single" w:color="C9D2DD" w:sz="1"/>
            </w:tcBorders>
            <w:tcMar>
              <w:top w:type="dxa" w:w="70"/>
              <w:left w:type="dxa" w:w="110"/>
              <w:bottom w:type="dxa" w:w="70"/>
              <w:right w:type="dxa" w:w="110"/>
            </w:tcMar>
            <w:vAlign w:val="top"/>
          </w:tcPr>
          <w:p>
            <w:pPr>
              <w:spacing w:after="0" w:line="264"/>
            </w:pPr>
            <w:r>
              <w:rPr>
                <w:sz w:val="20"/>
                <w:szCs w:val="20"/>
              </w:rPr>
              <w:t xml:space="preserve">actor, action, entity, entity_id, detail, at — time-entry edits and sensitive-data access.</w:t>
            </w:r>
          </w:p>
        </w:tc>
      </w:tr>
    </w:tbl>
    <w:p>
      <w:pPr>
        <w:spacing w:after="40"/>
      </w:pPr>
      <w:r>
        <w:t xml:space="preserve"/>
      </w:r>
    </w:p>
    <w:p>
      <w:pPr>
        <w:spacing w:after="120" w:line="276"/>
      </w:pPr>
      <w:r>
        <w:rPr>
          <w:sz w:val="21"/>
          <w:szCs w:val="21"/>
        </w:rPr>
        <w:t xml:space="preserve">Periods are keyed 'YYYY-MM', so prior-year history is native (filter by year) — see Section 5.1.</w:t>
      </w:r>
    </w:p>
    <w:p>
      <w:pPr>
        <w:pStyle w:val="Heading1"/>
      </w:pPr>
      <w:r>
        <w:t xml:space="preserve">5.  Module Functional Specs</w:t>
      </w:r>
    </w:p>
    <w:p>
      <w:pPr>
        <w:pStyle w:val="Heading2"/>
      </w:pPr>
      <w:r>
        <w:t xml:space="preserve">5.1  Unified workflow, auto-Delayed &amp; prior-year view</w:t>
      </w:r>
    </w:p>
    <w:p>
      <w:pPr>
        <w:pStyle w:val="ListParagraph"/>
        <w:numPr>
          <w:ilvl w:val="0"/>
          <w:numId w:val="2"/>
        </w:numPr>
        <w:spacing w:after="60" w:line="268"/>
      </w:pPr>
      <w:r>
        <w:t xml:space="preserve">Stage services use one sequence: In progress → Waiting on client → Prepared → Done (Done is terminal). N/A marks a period that doesn’t apply at the client’s cadence.</w:t>
      </w:r>
    </w:p>
    <w:p>
      <w:pPr>
        <w:pStyle w:val="ListParagraph"/>
        <w:numPr>
          <w:ilvl w:val="0"/>
          <w:numId w:val="2"/>
        </w:numPr>
        <w:spacing w:after="60" w:line="268"/>
      </w:pPr>
      <w:r>
        <w:rPr>
          <w:b/>
          <w:bCs/>
        </w:rPr>
        <w:t xml:space="preserve">Waiting on client: </w:t>
      </w:r>
      <w:r>
        <w:t xml:space="preserve">signals the work is blocked pending client information; surfaced amber.</w:t>
      </w:r>
    </w:p>
    <w:p>
      <w:pPr>
        <w:pStyle w:val="ListParagraph"/>
        <w:numPr>
          <w:ilvl w:val="0"/>
          <w:numId w:val="2"/>
        </w:numPr>
        <w:spacing w:after="60" w:line="268"/>
      </w:pPr>
      <w:r>
        <w:rPr>
          <w:b/>
          <w:bCs/>
        </w:rPr>
        <w:t xml:space="preserve">Delayed (automatic): </w:t>
      </w:r>
      <w:r>
        <w:t xml:space="preserve">derived, not clicked. Any current-year period past its due point and not Done / NA flags red. Computed at read time so it is always current.</w:t>
      </w:r>
    </w:p>
    <w:p>
      <w:pPr>
        <w:pStyle w:val="ListParagraph"/>
        <w:numPr>
          <w:ilvl w:val="0"/>
          <w:numId w:val="2"/>
        </w:numPr>
        <w:spacing w:after="60" w:line="268"/>
      </w:pPr>
      <w:r>
        <w:rPr>
          <w:b/>
          <w:bCs/>
        </w:rPr>
        <w:t xml:space="preserve">Cadence drives periods: </w:t>
      </w:r>
      <w:r>
        <w:t xml:space="preserve">monthly = 12, quarterly = 4, annual = 1.</w:t>
      </w:r>
    </w:p>
    <w:p>
      <w:pPr>
        <w:pStyle w:val="ListParagraph"/>
        <w:numPr>
          <w:ilvl w:val="0"/>
          <w:numId w:val="2"/>
        </w:numPr>
        <w:spacing w:after="60" w:line="268"/>
      </w:pPr>
      <w:r>
        <w:rPr>
          <w:b/>
          <w:bCs/>
        </w:rPr>
        <w:t xml:space="preserve">Prior-year view: </w:t>
      </w:r>
      <w:r>
        <w:t xml:space="preserve">every worklist and counter has a Year selector. Prior years are read-only history; the current-year “this month” highlight and auto-Delayed apply to the live year only. Periods keyed 'YYYY-MM' make this native.</w:t>
      </w:r>
    </w:p>
    <w:p>
      <w:pPr>
        <w:pStyle w:val="Heading2"/>
      </w:pPr>
      <w:r>
        <w:t xml:space="preserve">5.2  Multiple assignees per service</w:t>
      </w:r>
    </w:p>
    <w:p>
      <w:pPr>
        <w:pStyle w:val="ListParagraph"/>
        <w:numPr>
          <w:ilvl w:val="0"/>
          <w:numId w:val="2"/>
        </w:numPr>
        <w:spacing w:after="60" w:line="268"/>
      </w:pPr>
      <w:r>
        <w:t xml:space="preserve">Assignment is per client-service line, not per client — Financials, Sales Tax, and Payroll on one client can each have a different assignee.</w:t>
      </w:r>
    </w:p>
    <w:p>
      <w:pPr>
        <w:pStyle w:val="ListParagraph"/>
        <w:numPr>
          <w:ilvl w:val="0"/>
          <w:numId w:val="2"/>
        </w:numPr>
        <w:spacing w:after="60" w:line="268"/>
      </w:pPr>
      <w:r>
        <w:t xml:space="preserve">Workload aggregates effort by the actual assignee; the manager rollup (5.6) sums each person’s work under their reporting manager, including offshore staff.</w:t>
      </w:r>
    </w:p>
    <w:p>
      <w:pPr>
        <w:pStyle w:val="Heading2"/>
      </w:pPr>
      <w:r>
        <w:t xml:space="preserve">5.3  Payroll (counted per month)</w:t>
      </w:r>
    </w:p>
    <w:p>
      <w:pPr>
        <w:pStyle w:val="ListParagraph"/>
        <w:numPr>
          <w:ilvl w:val="0"/>
          <w:numId w:val="2"/>
        </w:numPr>
        <w:spacing w:after="60" w:line="268"/>
      </w:pPr>
      <w:r>
        <w:t xml:space="preserve">Payroll is tracked as a count of runs per month (a count service, like 1099s) — not the stage workflow.</w:t>
      </w:r>
    </w:p>
    <w:p>
      <w:pPr>
        <w:pStyle w:val="ListParagraph"/>
        <w:numPr>
          <w:ilvl w:val="0"/>
          <w:numId w:val="2"/>
        </w:numPr>
        <w:spacing w:after="60" w:line="268"/>
      </w:pPr>
      <w:r>
        <w:rPr>
          <w:b/>
          <w:bCs/>
        </w:rPr>
        <w:t xml:space="preserve">Expected runs per month come from cadence: </w:t>
      </w:r>
      <w:r>
        <w:t xml:space="preserve">weekly 4–5 (from the actual pay dates that month), bi-weekly up to 2, semi-monthly 2, monthly 1.</w:t>
      </w:r>
    </w:p>
    <w:p>
      <w:pPr>
        <w:pStyle w:val="ListParagraph"/>
        <w:numPr>
          <w:ilvl w:val="0"/>
          <w:numId w:val="2"/>
        </w:numPr>
        <w:spacing w:after="60" w:line="268"/>
      </w:pPr>
      <w:r>
        <w:t xml:space="preserve">The month rolls up to “done” once every expected run is logged; partial months show progress. Processor and cadence are shown as metadata.</w:t>
      </w:r>
    </w:p>
    <w:p>
      <w:pPr>
        <w:pStyle w:val="ListParagraph"/>
        <w:numPr>
          <w:ilvl w:val="0"/>
          <w:numId w:val="2"/>
        </w:numPr>
        <w:spacing w:after="60" w:line="268"/>
      </w:pPr>
      <w:r>
        <w:t xml:space="preserve">Full dated per-run detail beneath the month is a later enhancement; the count model supports adding it without restructuring.</w:t>
      </w:r>
    </w:p>
    <w:p>
      <w:pPr>
        <w:pStyle w:val="Heading2"/>
      </w:pPr>
      <w:r>
        <w:t xml:space="preserve">5.4  1099s by count</w:t>
      </w:r>
    </w:p>
    <w:p>
      <w:pPr>
        <w:pStyle w:val="ListParagraph"/>
        <w:numPr>
          <w:ilvl w:val="0"/>
          <w:numId w:val="2"/>
        </w:numPr>
        <w:spacing w:after="60" w:line="268"/>
      </w:pPr>
      <w:r>
        <w:t xml:space="preserve">Each 1099 client has an expected annual total and a processed count per month (a client’s 1099s arrive across different months).</w:t>
      </w:r>
    </w:p>
    <w:p>
      <w:pPr>
        <w:pStyle w:val="ListParagraph"/>
        <w:numPr>
          <w:ilvl w:val="0"/>
          <w:numId w:val="2"/>
        </w:numPr>
        <w:spacing w:after="60" w:line="268"/>
      </w:pPr>
      <w:r>
        <w:t xml:space="preserve">The worklist shows expected, each month’s count, total processed, and remaining (expected − processed); remaining stays flagged until cleared. No fee or dollar figure appears in the worklist.</w:t>
      </w:r>
    </w:p>
    <w:p>
      <w:pPr>
        <w:pStyle w:val="Heading2"/>
      </w:pPr>
      <w:r>
        <w:t xml:space="preserve">5.5  Live timesheet (editable)</w:t>
      </w:r>
    </w:p>
    <w:p>
      <w:pPr>
        <w:pStyle w:val="ListParagraph"/>
        <w:numPr>
          <w:ilvl w:val="0"/>
          <w:numId w:val="2"/>
        </w:numPr>
        <w:spacing w:after="60" w:line="268"/>
      </w:pPr>
      <w:r>
        <w:t xml:space="preserve">Real-time timer: pick user + client + task; Start runs a live clock; Stop logs an entry (seconds, date).</w:t>
      </w:r>
    </w:p>
    <w:p>
      <w:pPr>
        <w:pStyle w:val="ListParagraph"/>
        <w:numPr>
          <w:ilvl w:val="0"/>
          <w:numId w:val="2"/>
        </w:numPr>
        <w:spacing w:after="60" w:line="268"/>
      </w:pPr>
      <w:r>
        <w:rPr>
          <w:b/>
          <w:bCs/>
        </w:rPr>
        <w:t xml:space="preserve">Editable entries: </w:t>
      </w:r>
      <w:r>
        <w:t xml:space="preserve">the person who logged an entry can edit or delete it (wrong client, mistyped minutes, forgot to stop); a manager / admin can also correct it. This is the explicit reason the current tool is rejected — people must be able to fix their own time.</w:t>
      </w:r>
    </w:p>
    <w:p>
      <w:pPr>
        <w:pStyle w:val="ListParagraph"/>
        <w:numPr>
          <w:ilvl w:val="0"/>
          <w:numId w:val="2"/>
        </w:numPr>
        <w:spacing w:after="60" w:line="268"/>
      </w:pPr>
      <w:r>
        <w:t xml:space="preserve">Edited entries carry an “edited” marker; changes are written to audit_log. No approval workflow in Phase 1.</w:t>
      </w:r>
    </w:p>
    <w:p>
      <w:pPr>
        <w:pStyle w:val="Heading2"/>
      </w:pPr>
      <w:r>
        <w:t xml:space="preserve">5.6  Team Workload &amp; manager rollup</w:t>
      </w:r>
    </w:p>
    <w:p>
      <w:pPr>
        <w:pStyle w:val="ListParagraph"/>
        <w:numPr>
          <w:ilvl w:val="0"/>
          <w:numId w:val="2"/>
        </w:numPr>
        <w:spacing w:after="60" w:line="268"/>
      </w:pPr>
      <w:r>
        <w:t xml:space="preserve">Per-person effort view, plus a rollup grouped by reporting manager so a manager’s tile shows the whole team’s combined load and each member’s share — including offshore staff reporting to that manager.</w:t>
      </w:r>
    </w:p>
    <w:p>
      <w:pPr>
        <w:pStyle w:val="ListParagraph"/>
        <w:numPr>
          <w:ilvl w:val="0"/>
          <w:numId w:val="2"/>
        </w:numPr>
        <w:spacing w:after="60" w:line="268"/>
      </w:pPr>
      <w:r>
        <w:t xml:space="preserve">No fees or revenue appear on this view — billing is owner-only (5.9).</w:t>
      </w:r>
    </w:p>
    <w:p>
      <w:pPr>
        <w:pStyle w:val="Heading2"/>
      </w:pPr>
      <w:r>
        <w:t xml:space="preserve">5.7  Users &amp; Access</w:t>
      </w:r>
    </w:p>
    <w:p>
      <w:pPr>
        <w:pStyle w:val="ListParagraph"/>
        <w:numPr>
          <w:ilvl w:val="0"/>
          <w:numId w:val="2"/>
        </w:numPr>
        <w:spacing w:after="60" w:line="268"/>
      </w:pPr>
      <w:r>
        <w:t xml:space="preserve">Owner provisions each user: name, location, role, reporting manager, and the set of modules they may open.</w:t>
      </w:r>
    </w:p>
    <w:p>
      <w:pPr>
        <w:pStyle w:val="ListParagraph"/>
        <w:numPr>
          <w:ilvl w:val="0"/>
          <w:numId w:val="2"/>
        </w:numPr>
        <w:spacing w:after="60" w:line="268"/>
      </w:pPr>
      <w:r>
        <w:rPr>
          <w:b/>
          <w:bCs/>
        </w:rPr>
        <w:t xml:space="preserve">Secure provisioning: </w:t>
      </w:r>
      <w:r>
        <w:t xml:space="preserve">on create, the system issues a one-time setup link; the user sets their own password on first login. Passwords are hashed (argon2id) and never shown back to anyone, including the admin. MFA is mandatory for Offshore / web-door logins.</w:t>
      </w:r>
    </w:p>
    <w:p>
      <w:pPr>
        <w:pStyle w:val="ListParagraph"/>
        <w:numPr>
          <w:ilvl w:val="0"/>
          <w:numId w:val="2"/>
        </w:numPr>
        <w:spacing w:after="60" w:line="268"/>
      </w:pPr>
      <w:r>
        <w:t xml:space="preserve">Status lifecycle: invited → active (a profile can be disabled). Editing a profile updates access at next login.</w:t>
      </w:r>
    </w:p>
    <w:p>
      <w:pPr>
        <w:pStyle w:val="Heading2"/>
      </w:pPr>
      <w:r>
        <w:t xml:space="preserve">5.8  Password vault</w:t>
      </w:r>
    </w:p>
    <w:p>
      <w:pPr>
        <w:pStyle w:val="ListParagraph"/>
        <w:numPr>
          <w:ilvl w:val="0"/>
          <w:numId w:val="2"/>
        </w:numPr>
        <w:spacing w:after="60" w:line="268"/>
      </w:pPr>
      <w:r>
        <w:t xml:space="preserve">Software-portal credentials grouped by entity — one client may hold several logins under one expandable group with a count.</w:t>
      </w:r>
    </w:p>
    <w:p>
      <w:pPr>
        <w:pStyle w:val="ListParagraph"/>
        <w:numPr>
          <w:ilvl w:val="0"/>
          <w:numId w:val="2"/>
        </w:numPr>
        <w:spacing w:after="60" w:line="268"/>
      </w:pPr>
      <w:r>
        <w:t xml:space="preserve">Bank logins are not stored; they render as a link-out to TAP’s separate in-office bank system.</w:t>
      </w:r>
    </w:p>
    <w:p>
      <w:pPr>
        <w:pStyle w:val="ListParagraph"/>
        <w:numPr>
          <w:ilvl w:val="0"/>
          <w:numId w:val="2"/>
        </w:numPr>
        <w:spacing w:after="60" w:line="268"/>
      </w:pPr>
      <w:r>
        <w:t xml:space="preserve">Secrets encrypted at rest; reveal gated by permission; no bulk export.</w:t>
      </w:r>
    </w:p>
    <w:p>
      <w:pPr>
        <w:pStyle w:val="Heading2"/>
      </w:pPr>
      <w:r>
        <w:t xml:space="preserve">5.9  Fees / billing</w:t>
      </w:r>
    </w:p>
    <w:p>
      <w:pPr>
        <w:pStyle w:val="ListParagraph"/>
        <w:numPr>
          <w:ilvl w:val="0"/>
          <w:numId w:val="2"/>
        </w:numPr>
        <w:spacing w:after="60" w:line="268"/>
      </w:pPr>
      <w:r>
        <w:t xml:space="preserve">Owner-only, in its own area — never surfaced in any worklist or the workload view, for any role.</w:t>
      </w:r>
    </w:p>
    <w:p>
      <w:pPr>
        <w:pStyle w:val="ListParagraph"/>
        <w:numPr>
          <w:ilvl w:val="0"/>
          <w:numId w:val="2"/>
        </w:numPr>
        <w:spacing w:after="60" w:line="268"/>
      </w:pPr>
      <w:r>
        <w:t xml:space="preserve">Stored in isolated tables protected by row-level security; non-owner roles cannot read them via the UI or directly.</w:t>
      </w:r>
    </w:p>
    <w:p>
      <w:pPr>
        <w:pStyle w:val="ListParagraph"/>
        <w:numPr>
          <w:ilvl w:val="0"/>
          <w:numId w:val="2"/>
        </w:numPr>
        <w:spacing w:after="60" w:line="268"/>
      </w:pPr>
      <w:r>
        <w:rPr>
          <w:b/>
          <w:bCs/>
        </w:rPr>
        <w:t xml:space="preserve">Open modeling decision: </w:t>
      </w:r>
      <w:r>
        <w:t xml:space="preserve">bill per service line (schema v2 default) vs. a single monthly fee per client — confirm with TAP.</w:t>
      </w:r>
    </w:p>
    <w:p>
      <w:pPr>
        <w:pStyle w:val="Heading1"/>
      </w:pPr>
      <w:r>
        <w:t xml:space="preserve">6.  Security Requirements</w:t>
      </w:r>
    </w:p>
    <w:p>
      <w:pPr>
        <w:pStyle w:val="ListParagraph"/>
        <w:numPr>
          <w:ilvl w:val="0"/>
          <w:numId w:val="2"/>
        </w:numPr>
        <w:spacing w:after="60" w:line="268"/>
      </w:pPr>
      <w:r>
        <w:t xml:space="preserve">Row-level security enforcing role-based access on every sensitive table (billing, credentials, tax IDs). Enabled on all tables — a new table means new policies.</w:t>
      </w:r>
    </w:p>
    <w:p>
      <w:pPr>
        <w:pStyle w:val="ListParagraph"/>
        <w:numPr>
          <w:ilvl w:val="0"/>
          <w:numId w:val="2"/>
        </w:numPr>
        <w:spacing w:after="60" w:line="268"/>
      </w:pPr>
      <w:r>
        <w:rPr>
          <w:b/>
          <w:bCs/>
        </w:rPr>
        <w:t xml:space="preserve">The India door — choose one; both layer the controls below:</w:t>
      </w:r>
    </w:p>
    <w:p>
      <w:pPr>
        <w:pStyle w:val="ListParagraph"/>
        <w:numPr>
          <w:ilvl w:val="1"/>
          <w:numId w:val="2"/>
        </w:numPr>
        <w:spacing w:after="60" w:line="268"/>
      </w:pPr>
      <w:r>
        <w:rPr>
          <w:b/>
          <w:bCs/>
        </w:rPr>
        <w:t xml:space="preserve">Recommended — WireGuard VPN: </w:t>
      </w:r>
      <w:r>
        <w:t xml:space="preserve">the app stays LAN-only and never faces the internet; each India device gets a key and tunnels into the office network. Best fit for “off the public internet,” and it also handles a dynamic India IP.</w:t>
      </w:r>
    </w:p>
    <w:p>
      <w:pPr>
        <w:pStyle w:val="ListParagraph"/>
        <w:numPr>
          <w:ilvl w:val="1"/>
          <w:numId w:val="2"/>
        </w:numPr>
        <w:spacing w:after="60" w:line="268"/>
      </w:pPr>
      <w:r>
        <w:rPr>
          <w:b/>
          <w:bCs/>
        </w:rPr>
        <w:t xml:space="preserve">Alternative — hardened reverse proxy: </w:t>
      </w:r>
      <w:r>
        <w:t xml:space="preserve">only the proxy is exposed (port 443); it forwards to the app, never to the database.</w:t>
      </w:r>
    </w:p>
    <w:p>
      <w:pPr>
        <w:pStyle w:val="ListParagraph"/>
        <w:numPr>
          <w:ilvl w:val="0"/>
          <w:numId w:val="2"/>
        </w:numPr>
        <w:spacing w:after="60" w:line="268"/>
      </w:pPr>
      <w:r>
        <w:rPr>
          <w:b/>
          <w:bCs/>
        </w:rPr>
        <w:t xml:space="preserve">Controls on the door (both options): </w:t>
      </w:r>
      <w:r>
        <w:t xml:space="preserve">minimal exposure (the database is never published); IP allow-list to the India office; TLS everywhere + HSTS; mandatory TOTP MFA on every door account; the offshore role view-restricted via RLS + module list (no fees, vault, or bank); session and idle timeouts, secure httpOnly cookies, and login rate-limiting / lockout; audit logging of logins and sensitive access.</w:t>
      </w:r>
    </w:p>
    <w:p>
      <w:pPr>
        <w:pStyle w:val="ListParagraph"/>
        <w:numPr>
          <w:ilvl w:val="0"/>
          <w:numId w:val="2"/>
        </w:numPr>
        <w:spacing w:after="60" w:line="268"/>
      </w:pPr>
      <w:r>
        <w:t xml:space="preserve">Secrets and passwords hashed / encrypted at rest (argon2id); one-time provisioning links; self-set password on first login.</w:t>
      </w:r>
    </w:p>
    <w:p>
      <w:pPr>
        <w:pStyle w:val="ListParagraph"/>
        <w:numPr>
          <w:ilvl w:val="0"/>
          <w:numId w:val="2"/>
        </w:numPr>
        <w:spacing w:after="60" w:line="268"/>
      </w:pPr>
      <w:r>
        <w:t xml:space="preserve">Daily server backups with at least one off-server copy (TAP-operated); restore tested.</w:t>
      </w:r>
    </w:p>
    <w:p>
      <w:pPr>
        <w:pStyle w:val="Heading1"/>
      </w:pPr>
      <w:r>
        <w:t xml:space="preserve">7.  Data Migration</w:t>
      </w:r>
    </w:p>
    <w:p>
      <w:pPr>
        <w:pStyle w:val="ListParagraph"/>
        <w:numPr>
          <w:ilvl w:val="0"/>
          <w:numId w:val="2"/>
        </w:numPr>
        <w:spacing w:after="60" w:line="268"/>
      </w:pPr>
      <w:r>
        <w:t xml:space="preserve">Map the 16 workbook tabs to the model: the master combined tab + per-service tabs collapse into one clients record feeding client_services, work_periods (stage services), and period_counts (payroll &amp; 1099).</w:t>
      </w:r>
    </w:p>
    <w:p>
      <w:pPr>
        <w:pStyle w:val="ListParagraph"/>
        <w:numPr>
          <w:ilvl w:val="0"/>
          <w:numId w:val="2"/>
        </w:numPr>
        <w:spacing w:after="60" w:line="268"/>
      </w:pPr>
      <w:r>
        <w:t xml:space="preserve">De-duplicate clients (the workbook re-types the same client across tabs); reconcile name mismatches into one canonical record.</w:t>
      </w:r>
    </w:p>
    <w:p>
      <w:pPr>
        <w:pStyle w:val="ListParagraph"/>
        <w:numPr>
          <w:ilvl w:val="0"/>
          <w:numId w:val="2"/>
        </w:numPr>
        <w:spacing w:after="60" w:line="268"/>
      </w:pPr>
      <w:r>
        <w:t xml:space="preserve">Import current-year status into work_periods; payroll runs and 1099 counts into period_counts; expected annual onto client_services; portal logins into credentials grouped by entity.</w:t>
      </w:r>
    </w:p>
    <w:p>
      <w:pPr>
        <w:pStyle w:val="ListParagraph"/>
        <w:numPr>
          <w:ilvl w:val="0"/>
          <w:numId w:val="2"/>
        </w:numPr>
        <w:spacing w:after="60" w:line="268"/>
      </w:pPr>
      <w:r>
        <w:t xml:space="preserve">Prior-year history is optional to import (the model supports it); current-year is the minimum.</w:t>
      </w:r>
    </w:p>
    <w:p>
      <w:pPr>
        <w:pStyle w:val="Heading1"/>
      </w:pPr>
      <w:r>
        <w:t xml:space="preserve">8.  Non-Functional</w:t>
      </w:r>
    </w:p>
    <w:p>
      <w:pPr>
        <w:pStyle w:val="ListParagraph"/>
        <w:numPr>
          <w:ilvl w:val="0"/>
          <w:numId w:val="2"/>
        </w:numPr>
        <w:spacing w:after="60" w:line="268"/>
      </w:pPr>
      <w:r>
        <w:t xml:space="preserve">Scale: ~10–15 users (US + India); ~150 active monthly clients.</w:t>
      </w:r>
    </w:p>
    <w:p>
      <w:pPr>
        <w:pStyle w:val="ListParagraph"/>
        <w:numPr>
          <w:ilvl w:val="0"/>
          <w:numId w:val="2"/>
        </w:numPr>
        <w:spacing w:after="60" w:line="268"/>
      </w:pPr>
      <w:r>
        <w:t xml:space="preserve">Modern-browser support; responsive enough for laptop use.</w:t>
      </w:r>
    </w:p>
    <w:p>
      <w:pPr>
        <w:pStyle w:val="ListParagraph"/>
        <w:numPr>
          <w:ilvl w:val="0"/>
          <w:numId w:val="2"/>
        </w:numPr>
        <w:spacing w:after="60" w:line="268"/>
      </w:pPr>
      <w:r>
        <w:t xml:space="preserve">On-prem deploy, reinstallable offline (vendored images), with a documented restore procedure for handover.</w:t>
      </w:r>
    </w:p>
    <w:p>
      <w:pPr>
        <w:pStyle w:val="Heading1"/>
      </w:pPr>
      <w:r>
        <w:t xml:space="preserve">9.  Open Decisions</w:t>
      </w:r>
    </w:p>
    <w:p>
      <w:pPr>
        <w:pStyle w:val="ListParagraph"/>
        <w:numPr>
          <w:ilvl w:val="0"/>
          <w:numId w:val="2"/>
        </w:numPr>
        <w:spacing w:after="60" w:line="268"/>
      </w:pPr>
      <w:r>
        <w:t xml:space="preserve">Billing granularity: per service line (schema v2) vs. one monthly fee per client.</w:t>
      </w:r>
    </w:p>
    <w:p>
      <w:pPr>
        <w:pStyle w:val="ListParagraph"/>
        <w:numPr>
          <w:ilvl w:val="0"/>
          <w:numId w:val="2"/>
        </w:numPr>
        <w:spacing w:after="60" w:line="268"/>
      </w:pPr>
      <w:r>
        <w:t xml:space="preserve">India door: WireGuard VPN vs. hardened reverse proxy (operational choice).</w:t>
      </w:r>
    </w:p>
    <w:p>
      <w:pPr>
        <w:pStyle w:val="ListParagraph"/>
        <w:numPr>
          <w:ilvl w:val="0"/>
          <w:numId w:val="2"/>
        </w:numPr>
        <w:spacing w:after="60" w:line="268"/>
      </w:pPr>
      <w:r>
        <w:t xml:space="preserve">Final build fee confirmation with TAP.</w:t>
      </w:r>
    </w:p>
    <w:p>
      <w:pPr>
        <w:spacing w:after="120" w:line="276"/>
      </w:pPr>
      <w:r>
        <w:rPr>
          <w:i/>
          <w:iCs/>
          <w:color w:val="595959"/>
          <w:sz w:val="21"/>
          <w:szCs w:val="21"/>
        </w:rPr>
        <w:t xml:space="preserve">Payroll per-run depth is resolved for Phase 1: count rollup now, dated runs later.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4" w:space="6"/>
      </w:pBdr>
      <w:jc w:val="center"/>
    </w:pPr>
    <w:r>
      <w:rPr>
        <w:color w:val="595959"/>
        <w:sz w:val="16"/>
        <w:szCs w:val="16"/>
      </w:rPr>
      <w:t xml:space="preserve">AI Fusion IQ Labs  ·  TAP Hub  ·  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2DD" w:sz="4" w:space="4"/>
      </w:pBdr>
      <w:spacing w:after="120" w:before="280"/>
      <w:outlineLvl w:val="0"/>
    </w:pPr>
    <w:rPr>
      <w:rFonts w:ascii="Arial" w:cs="Arial" w:eastAsia="Arial" w:hAnsi="Arial"/>
      <w:b/>
      <w:bCs/>
      <w:color w:val="1F3A5F"/>
      <w:sz w:val="26"/>
      <w:szCs w:val="26"/>
    </w:rPr>
  </w:style>
  <w:style w:type="paragraph" w:styleId="Heading2">
    <w:name w:val="Heading 2"/>
    <w:basedOn w:val="Normal"/>
    <w:next w:val="Normal"/>
    <w:qFormat/>
    <w:pPr>
      <w:spacing w:after="80" w:before="180"/>
      <w:outlineLvl w:val="1"/>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 Hub — Phase 1 Build Specification v1.1</dc:title>
  <dc:creator>AI Fusion IQ Labs</dc:creator>
  <cp:lastModifiedBy>Un-named</cp:lastModifiedBy>
  <cp:revision>1</cp:revision>
  <dcterms:created xsi:type="dcterms:W3CDTF">2026-06-09T11:29:40.456Z</dcterms:created>
  <dcterms:modified xsi:type="dcterms:W3CDTF">2026-06-09T11:29:40.456Z</dcterms:modified>
</cp:coreProperties>
</file>

<file path=docProps/custom.xml><?xml version="1.0" encoding="utf-8"?>
<Properties xmlns="http://schemas.openxmlformats.org/officeDocument/2006/custom-properties" xmlns:vt="http://schemas.openxmlformats.org/officeDocument/2006/docPropsVTypes"/>
</file>