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D92" w:rsidRPr="00EB12B8" w:rsidRDefault="00A95D92" w:rsidP="00EB12B8">
      <w:pPr>
        <w:pStyle w:val="a3"/>
        <w:spacing w:before="90" w:beforeAutospacing="0" w:after="45" w:afterAutospacing="0" w:line="360" w:lineRule="auto"/>
        <w:ind w:left="75" w:right="75"/>
        <w:jc w:val="both"/>
        <w:rPr>
          <w:lang w:val="en-US"/>
        </w:rPr>
      </w:pPr>
      <w:r w:rsidRPr="00EB12B8">
        <w:rPr>
          <w:b/>
          <w:bCs/>
          <w:lang w:val="en-US"/>
        </w:rPr>
        <w:t>INTER-AMERICAN CONVENTION ON INTERNATIONAL COMMERCIAL ARBITRATION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 xml:space="preserve">The Governments of the Member States of the Organization of American States desirous of concluding a convention on international commercial </w:t>
      </w:r>
      <w:proofErr w:type="gramStart"/>
      <w:r w:rsidRPr="00EB12B8">
        <w:rPr>
          <w:lang w:val="en-US"/>
        </w:rPr>
        <w:t>arbitration,</w:t>
      </w:r>
      <w:proofErr w:type="gramEnd"/>
      <w:r w:rsidRPr="00EB12B8">
        <w:rPr>
          <w:lang w:val="en-US"/>
        </w:rPr>
        <w:t xml:space="preserve"> have agreed as follows: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1</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An agreement in which the parties undertake to submit to arbitral decision any differences that may arise or have arisen between them with respect to a commercial transaction is valid. The agreement shall be set forth in an instrument signed by the parties, or in the form of an exchange of letters, telegrams, or telex communications.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2</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Arbitrators shall be appointed in the manner agreed upon by the parties. Their appointment may be delegated to a third party, whether a natural or juridical person.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 xml:space="preserve">Arbitrators may be nationals or foreigners. </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3</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In the absence of an express agreement between the parties, the arbitration shall be conducted in accordance with the rules of procedure of the Inter-American Commercial Arbitration Commission.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4</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An arbitral decision or award that is not appealable under the applicable law or procedural rules shall have the force of a final judicial judgment. Its execution or recognition may be ordered in the same manner as that of decisions handed down by national or foreign ordinary courts, in accordance with the procedural laws of the country where it is to be executed and the provisions of international treaties.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5</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1. The recognition and execution of the decision may be refused, at the request of the party against which it is made, only if such party is able to prove to the competent authority of the State in which recognition and execution are requested:</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 That the parties to the agreement were subject to some incapacity under the applicable law or that the agreement is not valid under the law to which the parties have submitted it, or, if such law is not specified, under the law of the State in which the decision was made; or</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lastRenderedPageBreak/>
        <w:t>b. That the party against which the arbitral decision has been made was not duly notified of the appointment of the arbitrator or of the arbitration procedure to be followed, or was unable, for any other reason, to present his defense; or</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c. That the decision concerns a dispute not envisaged in the agreement between the parties to submit to arbitration; nevertheless, if the provisions of the decision that refer to issues submitted to arbitration can be separated from those not submitted to arbitration, the former may be recognized and executed; or</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d. That the constitution of the arbitral tribunal or the arbitration procedure has not been carried out in accordance with the terms of the agreement signed by the parties or, in the absence of such agreement, that the constitution of the arbitral tribunal or the arbitration procedure has not been carried out in accordance with the law of the State where the arbitration took place; or</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e. That the decision is not yet binding on the parties or has been annulled or suspended by a competent authority of the State in which, or according to the law of which, the decision has been made.</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2. The recognition and execution of an arbitral decision may also be refused if the competent authority of the State in which the recognition and execution is requested finds: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 That the subject of the dispute cannot be settled by arbitration under the law of that State; or</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b. That the recognition or execution of the decision would be contrary to the public policy ("</w:t>
      </w:r>
      <w:proofErr w:type="spellStart"/>
      <w:r w:rsidRPr="00EB12B8">
        <w:rPr>
          <w:lang w:val="en-US"/>
        </w:rPr>
        <w:t>ordre</w:t>
      </w:r>
      <w:proofErr w:type="spellEnd"/>
      <w:r w:rsidRPr="00EB12B8">
        <w:rPr>
          <w:lang w:val="en-US"/>
        </w:rPr>
        <w:t xml:space="preserve"> public") of that State.</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6</w:t>
      </w:r>
    </w:p>
    <w:p w:rsidR="00A95D92" w:rsidRPr="00EB12B8" w:rsidRDefault="00A95D92" w:rsidP="00EB12B8">
      <w:pPr>
        <w:pStyle w:val="a3"/>
        <w:spacing w:before="90" w:beforeAutospacing="0" w:after="45" w:afterAutospacing="0" w:line="360" w:lineRule="auto"/>
        <w:ind w:left="75" w:right="75"/>
        <w:jc w:val="both"/>
        <w:rPr>
          <w:lang w:val="en-US"/>
        </w:rPr>
      </w:pPr>
      <w:proofErr w:type="gramStart"/>
      <w:r w:rsidRPr="00EB12B8">
        <w:rPr>
          <w:lang w:val="en-US"/>
        </w:rPr>
        <w:t>If the competent authority mentioned in Article 5.</w:t>
      </w:r>
      <w:proofErr w:type="gramEnd"/>
      <w:r w:rsidRPr="00EB12B8">
        <w:rPr>
          <w:lang w:val="en-US"/>
        </w:rPr>
        <w:t xml:space="preserve"> 1. </w:t>
      </w:r>
      <w:proofErr w:type="spellStart"/>
      <w:proofErr w:type="gramStart"/>
      <w:r w:rsidRPr="00EB12B8">
        <w:rPr>
          <w:lang w:val="en-US"/>
        </w:rPr>
        <w:t>e</w:t>
      </w:r>
      <w:proofErr w:type="spellEnd"/>
      <w:proofErr w:type="gramEnd"/>
      <w:r w:rsidRPr="00EB12B8">
        <w:rPr>
          <w:lang w:val="en-US"/>
        </w:rPr>
        <w:t xml:space="preserve"> has been requested to annul or suspend the arbitral decision, the authority before which such decision is invoked may, if it deems it appropriate, postpone a decision on the execution of the arbitral decision and, at the request of the party requesting execution, may also instruct the other party to provide appropriate guaranties.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7</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This Convention shall be open for signature by the Member States of the Organization of American States.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8</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This Convention is subject to ratification. The instruments of ratification shall be deposited with the General Secretariat of the Organization of American States.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9</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lastRenderedPageBreak/>
        <w:t>This Convention shall remain open for accession by any other State. The instruments of accession shall be deposited with the General Secretariat of the Organization of American States.</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10</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This Convention shall enter into force on the thirtieth day following the date of deposit of the second instrument of ratification.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For each State ratifying or acceding to the Convention after the deposit of the second instrument of ratification, the Convention shall enter into force on the thirtieth day after deposit by such State of its instrument of ratification or accession.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11</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If a State Party has two or more territorial units in which different systems of law apply in relation to the matters dealt with in this Convention, it may, at the time of signature, ratification or accession, declare that this Convention shall extend to all its territorial units or only to one or more of them.</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Such declaration may be modified by subsequent declarations, which shall expressly indicate the territorial unit or units to which the Convention applies. Such subsequent declarations shall be transmitted to the General Secretariat of the Organization of American States, and shall become effective thirty days after the date of their receipt.</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Article 12</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t>This Convention shall remain in force indefinitely, but any of the States Parties may denounce it. The instrument of denunciation shall be deposited with the General Secretariat of the Organization of American States. After one year from the date of deposit of the instrument of denunciation, the Convention shall no longer be in effect for the denouncing State, but shall remain in effect for the other States Parties.</w:t>
      </w:r>
    </w:p>
    <w:p w:rsidR="00A95D92" w:rsidRPr="00EB12B8" w:rsidRDefault="00A95D92" w:rsidP="00EB12B8">
      <w:pPr>
        <w:pStyle w:val="a3"/>
        <w:spacing w:before="90" w:beforeAutospacing="0" w:after="45" w:afterAutospacing="0" w:line="360" w:lineRule="auto"/>
        <w:ind w:left="75" w:right="75"/>
        <w:jc w:val="both"/>
      </w:pPr>
      <w:proofErr w:type="spellStart"/>
      <w:r w:rsidRPr="00EB12B8">
        <w:t>Article</w:t>
      </w:r>
      <w:proofErr w:type="spellEnd"/>
      <w:r w:rsidRPr="00EB12B8">
        <w:t xml:space="preserve"> 13</w:t>
      </w:r>
    </w:p>
    <w:p w:rsidR="00A95D92" w:rsidRPr="00EB12B8" w:rsidRDefault="00A95D92" w:rsidP="00EB12B8">
      <w:pPr>
        <w:pStyle w:val="a3"/>
        <w:spacing w:before="90" w:beforeAutospacing="0" w:after="45" w:afterAutospacing="0" w:line="360" w:lineRule="auto"/>
        <w:ind w:left="75" w:right="75"/>
        <w:jc w:val="both"/>
        <w:rPr>
          <w:lang w:val="en-US"/>
        </w:rPr>
      </w:pPr>
      <w:proofErr w:type="gramStart"/>
      <w:r w:rsidRPr="00EB12B8">
        <w:rPr>
          <w:lang w:val="en-US"/>
        </w:rPr>
        <w:t>The original instrument of this Convention, the English, French, Portuguese and Spanish texts of which are equally authentic, shall be deposited with the General Secretariat of the Organization of American States.</w:t>
      </w:r>
      <w:proofErr w:type="gramEnd"/>
      <w:r w:rsidRPr="00EB12B8">
        <w:rPr>
          <w:lang w:val="en-US"/>
        </w:rPr>
        <w:t xml:space="preserve"> The Secretariat shall notify the lumber States of the Organization of American States and the States that have acceded to the Convention of the signatures, deposits of instruments of ratification, accession, and denunciation as well as of reservations, if any. It shall also transmit the declarations referred to in Article 11 of this Convention.</w:t>
      </w:r>
    </w:p>
    <w:p w:rsidR="00A95D92" w:rsidRPr="00EB12B8" w:rsidRDefault="00A95D92" w:rsidP="00EB12B8">
      <w:pPr>
        <w:pStyle w:val="a3"/>
        <w:spacing w:before="90" w:beforeAutospacing="0" w:after="45" w:afterAutospacing="0" w:line="360" w:lineRule="auto"/>
        <w:ind w:left="75" w:right="75"/>
        <w:jc w:val="both"/>
        <w:rPr>
          <w:lang w:val="en-US"/>
        </w:rPr>
      </w:pPr>
      <w:r w:rsidRPr="00EB12B8">
        <w:rPr>
          <w:lang w:val="en-US"/>
        </w:rPr>
        <w:lastRenderedPageBreak/>
        <w:t>IN WITNESS WHEREOF the undersigned Plenipotentiaries, being duly authorized thereto by their respective Governments, have signed this Convention.</w:t>
      </w:r>
    </w:p>
    <w:p w:rsidR="00A95D92" w:rsidRPr="00EB12B8" w:rsidRDefault="00A95D92" w:rsidP="00EB12B8">
      <w:pPr>
        <w:pStyle w:val="a3"/>
        <w:spacing w:before="90" w:beforeAutospacing="0" w:after="45" w:afterAutospacing="0" w:line="360" w:lineRule="auto"/>
        <w:ind w:left="75" w:right="75"/>
        <w:jc w:val="both"/>
        <w:rPr>
          <w:lang w:val="en-US"/>
        </w:rPr>
      </w:pPr>
      <w:proofErr w:type="gramStart"/>
      <w:r w:rsidRPr="00EB12B8">
        <w:rPr>
          <w:lang w:val="en-US"/>
        </w:rPr>
        <w:t>DONE AT PANAMA CITY, Republic of Panama, this thirtieth day of January one thousand nine hundred and seventy-five.</w:t>
      </w:r>
      <w:proofErr w:type="gramEnd"/>
    </w:p>
    <w:p w:rsidR="007264AB" w:rsidRPr="00EB12B8" w:rsidRDefault="007264AB" w:rsidP="00EB12B8">
      <w:pPr>
        <w:jc w:val="both"/>
        <w:rPr>
          <w:rFonts w:ascii="Times New Roman" w:hAnsi="Times New Roman" w:cs="Times New Roman"/>
          <w:sz w:val="24"/>
          <w:szCs w:val="24"/>
          <w:lang w:val="en-US"/>
        </w:rPr>
      </w:pPr>
    </w:p>
    <w:p w:rsidR="00EB12B8" w:rsidRPr="00EB12B8" w:rsidRDefault="00EB12B8" w:rsidP="00EB12B8">
      <w:pPr>
        <w:jc w:val="both"/>
        <w:rPr>
          <w:rFonts w:ascii="Times New Roman" w:hAnsi="Times New Roman" w:cs="Times New Roman"/>
          <w:sz w:val="24"/>
          <w:szCs w:val="24"/>
          <w:lang w:val="en-US"/>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en-US" w:eastAsia="ru-RU"/>
        </w:rPr>
      </w:pPr>
      <w:r w:rsidRPr="00EB12B8">
        <w:rPr>
          <w:rFonts w:ascii="Times New Roman" w:eastAsia="Times New Roman" w:hAnsi="Times New Roman" w:cs="Times New Roman"/>
          <w:b/>
          <w:bCs/>
          <w:sz w:val="24"/>
          <w:szCs w:val="24"/>
          <w:lang w:val="en-US" w:eastAsia="ru-RU"/>
        </w:rPr>
        <w:t> B-35: INTER-AMERICAN CONVENTION ON INTERNATIONAL COMMERCIAL ARBITRATION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b/>
          <w:bCs/>
          <w:sz w:val="24"/>
          <w:szCs w:val="24"/>
          <w:lang w:val="en-US" w:eastAsia="ru-RU"/>
        </w:rPr>
        <w:t xml:space="preserve">        </w:t>
      </w:r>
      <w:r w:rsidRPr="00EB12B8">
        <w:rPr>
          <w:rFonts w:ascii="Times New Roman" w:eastAsia="Times New Roman" w:hAnsi="Times New Roman" w:cs="Times New Roman"/>
          <w:sz w:val="24"/>
          <w:szCs w:val="24"/>
          <w:lang w:val="en-US" w:eastAsia="ru-RU"/>
        </w:rPr>
        <w:t>ADOPTED AT: PANAMA, PANAMA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DATE: 01/30/75</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CONF/ASSEM/MEETING: INTER-AMERICAN SPECIALIZED CONFERENCE ON PRIVATE INTERNATIONAL LAW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ENTRY INTO FORCE: 06/16/76   IN ACCORDANCE WITH ARTICLE 10 OF THE CONVENTION.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DEPOSITORY: GENERAL SECRETARIAT, OAS (ORIGINAL INSTRUMENT AND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xml:space="preserve">                    </w:t>
      </w:r>
      <w:proofErr w:type="gramStart"/>
      <w:r w:rsidRPr="00EB12B8">
        <w:rPr>
          <w:rFonts w:ascii="Times New Roman" w:eastAsia="Times New Roman" w:hAnsi="Times New Roman" w:cs="Times New Roman"/>
          <w:sz w:val="24"/>
          <w:szCs w:val="24"/>
          <w:lang w:val="en-US" w:eastAsia="ru-RU"/>
        </w:rPr>
        <w:t>RATIFICATIONS).</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TEXT: OAS, TREATY SERIES, NO. 42.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UN REGISTRATION: 03/20/89</w:t>
      </w:r>
      <w:proofErr w:type="gramStart"/>
      <w:r w:rsidRPr="00EB12B8">
        <w:rPr>
          <w:rFonts w:ascii="Times New Roman" w:eastAsia="Times New Roman" w:hAnsi="Times New Roman" w:cs="Times New Roman"/>
          <w:sz w:val="24"/>
          <w:szCs w:val="24"/>
          <w:lang w:val="en-US" w:eastAsia="ru-RU"/>
        </w:rPr>
        <w:t>  No</w:t>
      </w:r>
      <w:proofErr w:type="gramEnd"/>
      <w:r w:rsidRPr="00EB12B8">
        <w:rPr>
          <w:rFonts w:ascii="Times New Roman" w:eastAsia="Times New Roman" w:hAnsi="Times New Roman" w:cs="Times New Roman"/>
          <w:sz w:val="24"/>
          <w:szCs w:val="24"/>
          <w:lang w:val="en-US" w:eastAsia="ru-RU"/>
        </w:rPr>
        <w:t>. 24384   Vol.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OBSERVATIONS: This Convention shall remain open for signature by the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Member States of the OAS and for accession by any other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xml:space="preserve">                    </w:t>
      </w:r>
      <w:proofErr w:type="gramStart"/>
      <w:r w:rsidRPr="00EB12B8">
        <w:rPr>
          <w:rFonts w:ascii="Times New Roman" w:eastAsia="Times New Roman" w:hAnsi="Times New Roman" w:cs="Times New Roman"/>
          <w:sz w:val="24"/>
          <w:szCs w:val="24"/>
          <w:lang w:val="en-US" w:eastAsia="ru-RU"/>
        </w:rPr>
        <w:t>State.</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GENERAL INFORMATION OF THE TREATY: B-35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=====================================================================SIGNATORY COUNTRIES    SIGNATURE REF   RA/AC/AD REF   DEPOSIT INST</w:t>
      </w:r>
      <w:proofErr w:type="gramStart"/>
      <w:r w:rsidRPr="00EB12B8">
        <w:rPr>
          <w:rFonts w:ascii="Times New Roman" w:eastAsia="Times New Roman" w:hAnsi="Times New Roman" w:cs="Times New Roman"/>
          <w:sz w:val="24"/>
          <w:szCs w:val="24"/>
          <w:lang w:val="en-US" w:eastAsia="ru-RU"/>
        </w:rPr>
        <w:t>  INFORMA</w:t>
      </w:r>
      <w:proofErr w:type="gramEnd"/>
      <w:r w:rsidRPr="00EB12B8">
        <w:rPr>
          <w:rFonts w:ascii="Times New Roman" w:eastAsia="Times New Roman" w:hAnsi="Times New Roman" w:cs="Times New Roman"/>
          <w:sz w:val="24"/>
          <w:szCs w:val="24"/>
          <w:lang w:val="en-US" w:eastAsia="ru-RU"/>
        </w:rPr>
        <w:t xml:space="preserve"> REF</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Argentina ...........</w:t>
      </w:r>
      <w:proofErr w:type="gramEnd"/>
      <w:r w:rsidRPr="00EB12B8">
        <w:rPr>
          <w:rFonts w:ascii="Times New Roman" w:eastAsia="Times New Roman" w:hAnsi="Times New Roman" w:cs="Times New Roman"/>
          <w:sz w:val="24"/>
          <w:szCs w:val="24"/>
          <w:lang w:val="en-US" w:eastAsia="ru-RU"/>
        </w:rPr>
        <w:t>   03/15/91       11/03/94       01/05/95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Bolivia .............   08/02/83       10/08/98       04/29/99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Brazil ..............</w:t>
      </w:r>
      <w:proofErr w:type="gramEnd"/>
      <w:r w:rsidRPr="00EB12B8">
        <w:rPr>
          <w:rFonts w:ascii="Times New Roman" w:eastAsia="Times New Roman" w:hAnsi="Times New Roman" w:cs="Times New Roman"/>
          <w:sz w:val="24"/>
          <w:szCs w:val="24"/>
          <w:lang w:val="en-US" w:eastAsia="ru-RU"/>
        </w:rPr>
        <w:t>   01/30/75       08/31/95       11/27/95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Chile ...............   01/30/75       04/08/76       05/17/76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Colombia ............   01/30/75       11/18/86       12/29/86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Costa Rica ..........   01/30/75       01/02/78       01/20/78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xml:space="preserve">Dominican </w:t>
      </w:r>
      <w:proofErr w:type="gramStart"/>
      <w:r w:rsidRPr="00EB12B8">
        <w:rPr>
          <w:rFonts w:ascii="Times New Roman" w:eastAsia="Times New Roman" w:hAnsi="Times New Roman" w:cs="Times New Roman"/>
          <w:sz w:val="24"/>
          <w:szCs w:val="24"/>
          <w:lang w:val="en-US" w:eastAsia="ru-RU"/>
        </w:rPr>
        <w:t>Republic ..</w:t>
      </w:r>
      <w:proofErr w:type="gramEnd"/>
      <w:r w:rsidRPr="00EB12B8">
        <w:rPr>
          <w:rFonts w:ascii="Times New Roman" w:eastAsia="Times New Roman" w:hAnsi="Times New Roman" w:cs="Times New Roman"/>
          <w:sz w:val="24"/>
          <w:szCs w:val="24"/>
          <w:lang w:val="en-US" w:eastAsia="ru-RU"/>
        </w:rPr>
        <w:t>   04/18/77       02/11/08       07/07/08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Ecuador .............   01/30/75       08/06/91       10/23/91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El Salvador .........   01/30/75       06/27/80       08/11/80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lastRenderedPageBreak/>
        <w:t>Guatemala ...........</w:t>
      </w:r>
      <w:proofErr w:type="gramEnd"/>
      <w:r w:rsidRPr="00EB12B8">
        <w:rPr>
          <w:rFonts w:ascii="Times New Roman" w:eastAsia="Times New Roman" w:hAnsi="Times New Roman" w:cs="Times New Roman"/>
          <w:sz w:val="24"/>
          <w:szCs w:val="24"/>
          <w:lang w:val="en-US" w:eastAsia="ru-RU"/>
        </w:rPr>
        <w:t>   01/30/75       07/07/86       08/20/86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Honduras ............   01/30/75       01/08/79       03/22/79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Mexico ..............</w:t>
      </w:r>
      <w:proofErr w:type="gramEnd"/>
      <w:r w:rsidRPr="00EB12B8">
        <w:rPr>
          <w:rFonts w:ascii="Times New Roman" w:eastAsia="Times New Roman" w:hAnsi="Times New Roman" w:cs="Times New Roman"/>
          <w:sz w:val="24"/>
          <w:szCs w:val="24"/>
          <w:lang w:val="en-US" w:eastAsia="ru-RU"/>
        </w:rPr>
        <w:t>   10/27/77    1</w:t>
      </w:r>
      <w:proofErr w:type="gramStart"/>
      <w:r w:rsidRPr="00EB12B8">
        <w:rPr>
          <w:rFonts w:ascii="Times New Roman" w:eastAsia="Times New Roman" w:hAnsi="Times New Roman" w:cs="Times New Roman"/>
          <w:sz w:val="24"/>
          <w:szCs w:val="24"/>
          <w:lang w:val="en-US" w:eastAsia="ru-RU"/>
        </w:rPr>
        <w:t>  02</w:t>
      </w:r>
      <w:proofErr w:type="gramEnd"/>
      <w:r w:rsidRPr="00EB12B8">
        <w:rPr>
          <w:rFonts w:ascii="Times New Roman" w:eastAsia="Times New Roman" w:hAnsi="Times New Roman" w:cs="Times New Roman"/>
          <w:sz w:val="24"/>
          <w:szCs w:val="24"/>
          <w:lang w:val="en-US" w:eastAsia="ru-RU"/>
        </w:rPr>
        <w:t>/15/78       03/27/78 RA     /  /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Nicaragua ...........</w:t>
      </w:r>
      <w:proofErr w:type="gramEnd"/>
      <w:r w:rsidRPr="00EB12B8">
        <w:rPr>
          <w:rFonts w:ascii="Times New Roman" w:eastAsia="Times New Roman" w:hAnsi="Times New Roman" w:cs="Times New Roman"/>
          <w:sz w:val="24"/>
          <w:szCs w:val="24"/>
          <w:lang w:val="en-US" w:eastAsia="ru-RU"/>
        </w:rPr>
        <w:t>   01/30/75       07/15/03       10/02/03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Panama ..............</w:t>
      </w:r>
      <w:proofErr w:type="gramEnd"/>
      <w:r w:rsidRPr="00EB12B8">
        <w:rPr>
          <w:rFonts w:ascii="Times New Roman" w:eastAsia="Times New Roman" w:hAnsi="Times New Roman" w:cs="Times New Roman"/>
          <w:sz w:val="24"/>
          <w:szCs w:val="24"/>
          <w:lang w:val="en-US" w:eastAsia="ru-RU"/>
        </w:rPr>
        <w:t>   01/30/75       11/11/75       12/17/75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Paraguay ............   08/26/75    1</w:t>
      </w:r>
      <w:proofErr w:type="gramStart"/>
      <w:r w:rsidRPr="00EB12B8">
        <w:rPr>
          <w:rFonts w:ascii="Times New Roman" w:eastAsia="Times New Roman" w:hAnsi="Times New Roman" w:cs="Times New Roman"/>
          <w:sz w:val="24"/>
          <w:szCs w:val="24"/>
          <w:lang w:val="en-US" w:eastAsia="ru-RU"/>
        </w:rPr>
        <w:t>  12</w:t>
      </w:r>
      <w:proofErr w:type="gramEnd"/>
      <w:r w:rsidRPr="00EB12B8">
        <w:rPr>
          <w:rFonts w:ascii="Times New Roman" w:eastAsia="Times New Roman" w:hAnsi="Times New Roman" w:cs="Times New Roman"/>
          <w:sz w:val="24"/>
          <w:szCs w:val="24"/>
          <w:lang w:val="en-US" w:eastAsia="ru-RU"/>
        </w:rPr>
        <w:t>/02/76       12/15/76 RA     /  /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Peru ................   04/21/88       05/02/89       05/22/89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United States .......   06/09/78       11/10/86    a</w:t>
      </w:r>
      <w:proofErr w:type="gramStart"/>
      <w:r w:rsidRPr="00EB12B8">
        <w:rPr>
          <w:rFonts w:ascii="Times New Roman" w:eastAsia="Times New Roman" w:hAnsi="Times New Roman" w:cs="Times New Roman"/>
          <w:sz w:val="24"/>
          <w:szCs w:val="24"/>
          <w:lang w:val="en-US" w:eastAsia="ru-RU"/>
        </w:rPr>
        <w:t>  09</w:t>
      </w:r>
      <w:proofErr w:type="gramEnd"/>
      <w:r w:rsidRPr="00EB12B8">
        <w:rPr>
          <w:rFonts w:ascii="Times New Roman" w:eastAsia="Times New Roman" w:hAnsi="Times New Roman" w:cs="Times New Roman"/>
          <w:sz w:val="24"/>
          <w:szCs w:val="24"/>
          <w:lang w:val="en-US" w:eastAsia="ru-RU"/>
        </w:rPr>
        <w:t>/27/90 RA     /  /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Uruguay .............   01/30/75       03/29/77       04/25/77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proofErr w:type="gramStart"/>
      <w:r w:rsidRPr="00EB12B8">
        <w:rPr>
          <w:rFonts w:ascii="Times New Roman" w:eastAsia="Times New Roman" w:hAnsi="Times New Roman" w:cs="Times New Roman"/>
          <w:sz w:val="24"/>
          <w:szCs w:val="24"/>
          <w:lang w:val="en-US" w:eastAsia="ru-RU"/>
        </w:rPr>
        <w:t>Venezuela ...........</w:t>
      </w:r>
      <w:proofErr w:type="gramEnd"/>
      <w:r w:rsidRPr="00EB12B8">
        <w:rPr>
          <w:rFonts w:ascii="Times New Roman" w:eastAsia="Times New Roman" w:hAnsi="Times New Roman" w:cs="Times New Roman"/>
          <w:sz w:val="24"/>
          <w:szCs w:val="24"/>
          <w:lang w:val="en-US" w:eastAsia="ru-RU"/>
        </w:rPr>
        <w:t>   01/30/75       03/22/85       05/16/85 RA     /</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REF = REFERENCE                                      INST = TYPE OF INSTRUMENT</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D = DECLARATION                                      RA = RATIFICATION</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R = RESERVATION                                      AC = ACCEPTANCE</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INFORMA</w:t>
      </w:r>
      <w:proofErr w:type="gramStart"/>
      <w:r w:rsidRPr="00EB12B8">
        <w:rPr>
          <w:rFonts w:ascii="Times New Roman" w:eastAsia="Times New Roman" w:hAnsi="Times New Roman" w:cs="Times New Roman"/>
          <w:sz w:val="24"/>
          <w:szCs w:val="24"/>
          <w:lang w:val="en-US" w:eastAsia="ru-RU"/>
        </w:rPr>
        <w:t>  =</w:t>
      </w:r>
      <w:proofErr w:type="gramEnd"/>
      <w:r w:rsidRPr="00EB12B8">
        <w:rPr>
          <w:rFonts w:ascii="Times New Roman" w:eastAsia="Times New Roman" w:hAnsi="Times New Roman" w:cs="Times New Roman"/>
          <w:sz w:val="24"/>
          <w:szCs w:val="24"/>
          <w:lang w:val="en-US" w:eastAsia="ru-RU"/>
        </w:rPr>
        <w:t xml:space="preserve"> INFORMATION REQUIRED BY THE TREATY               AD = ACCESSION</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w:t>
      </w:r>
      <w:proofErr w:type="gramStart"/>
      <w:r w:rsidRPr="00EB12B8">
        <w:rPr>
          <w:rFonts w:ascii="Times New Roman" w:eastAsia="Times New Roman" w:hAnsi="Times New Roman" w:cs="Times New Roman"/>
          <w:b/>
          <w:bCs/>
          <w:sz w:val="24"/>
          <w:szCs w:val="24"/>
          <w:lang w:val="en-US" w:eastAsia="ru-RU"/>
        </w:rPr>
        <w:t>B-35.</w:t>
      </w:r>
      <w:proofErr w:type="gramEnd"/>
      <w:r w:rsidRPr="00EB12B8">
        <w:rPr>
          <w:rFonts w:ascii="Times New Roman" w:eastAsia="Times New Roman" w:hAnsi="Times New Roman" w:cs="Times New Roman"/>
          <w:b/>
          <w:bCs/>
          <w:sz w:val="24"/>
          <w:szCs w:val="24"/>
          <w:lang w:val="en-US" w:eastAsia="ru-RU"/>
        </w:rPr>
        <w:t xml:space="preserve"> INTER-AMERICAN CONVENTION ON INTERNATIONAL COMMERCIAL ARBITRATION    </w:t>
      </w: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1.   Mexico, Paraguay: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xml:space="preserve">     </w:t>
      </w:r>
      <w:proofErr w:type="gramStart"/>
      <w:r w:rsidRPr="00EB12B8">
        <w:rPr>
          <w:rFonts w:ascii="Times New Roman" w:eastAsia="Times New Roman" w:hAnsi="Times New Roman" w:cs="Times New Roman"/>
          <w:sz w:val="24"/>
          <w:szCs w:val="24"/>
          <w:lang w:val="en-US" w:eastAsia="ru-RU"/>
        </w:rPr>
        <w:t>Signed ad referendum.</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a.   United States: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(Reservations made at the time of ratification)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1.   Unless there is an express agreement among the parties to   an arbitration agreement to the contrary, where the    requirements for application of both the Inter-American    Convention on the Recognition and Enforcement of Foreign   Arbitral Awards are met, if a majority of such parties are citizens of a state or states that have ratified</w:t>
      </w:r>
      <w:proofErr w:type="gramStart"/>
      <w:r w:rsidRPr="00EB12B8">
        <w:rPr>
          <w:rFonts w:ascii="Times New Roman" w:eastAsia="Times New Roman" w:hAnsi="Times New Roman" w:cs="Times New Roman"/>
          <w:sz w:val="24"/>
          <w:szCs w:val="24"/>
          <w:lang w:val="en-US" w:eastAsia="ru-RU"/>
        </w:rPr>
        <w:t>  or</w:t>
      </w:r>
      <w:proofErr w:type="gramEnd"/>
      <w:r w:rsidRPr="00EB12B8">
        <w:rPr>
          <w:rFonts w:ascii="Times New Roman" w:eastAsia="Times New Roman" w:hAnsi="Times New Roman" w:cs="Times New Roman"/>
          <w:sz w:val="24"/>
          <w:szCs w:val="24"/>
          <w:lang w:val="en-US" w:eastAsia="ru-RU"/>
        </w:rPr>
        <w:t xml:space="preserve"> acceded </w:t>
      </w:r>
      <w:proofErr w:type="spellStart"/>
      <w:r w:rsidRPr="00EB12B8">
        <w:rPr>
          <w:rFonts w:ascii="Times New Roman" w:eastAsia="Times New Roman" w:hAnsi="Times New Roman" w:cs="Times New Roman"/>
          <w:sz w:val="24"/>
          <w:szCs w:val="24"/>
          <w:lang w:val="en-US" w:eastAsia="ru-RU"/>
        </w:rPr>
        <w:t>tothe</w:t>
      </w:r>
      <w:proofErr w:type="spellEnd"/>
      <w:r w:rsidRPr="00EB12B8">
        <w:rPr>
          <w:rFonts w:ascii="Times New Roman" w:eastAsia="Times New Roman" w:hAnsi="Times New Roman" w:cs="Times New Roman"/>
          <w:sz w:val="24"/>
          <w:szCs w:val="24"/>
          <w:lang w:val="en-US" w:eastAsia="ru-RU"/>
        </w:rPr>
        <w:t xml:space="preserve"> Inter-American Convention and are Member States of the Organization of American States, the Inter-American Convention shall apply.  </w:t>
      </w:r>
      <w:proofErr w:type="gramStart"/>
      <w:r w:rsidRPr="00EB12B8">
        <w:rPr>
          <w:rFonts w:ascii="Times New Roman" w:eastAsia="Times New Roman" w:hAnsi="Times New Roman" w:cs="Times New Roman"/>
          <w:sz w:val="24"/>
          <w:szCs w:val="24"/>
          <w:lang w:val="en-US" w:eastAsia="ru-RU"/>
        </w:rPr>
        <w:t>In all other cases, the Convention on the Recognition and Enforcement of Foreign Arbitral Awards shallapply.</w:t>
      </w:r>
      <w:proofErr w:type="gramEnd"/>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2.   The Unites States of America will apply the rules of procedure of the Inter-American Commercial Arbitration</w:t>
      </w:r>
      <w:proofErr w:type="gramStart"/>
      <w:r w:rsidRPr="00EB12B8">
        <w:rPr>
          <w:rFonts w:ascii="Times New Roman" w:eastAsia="Times New Roman" w:hAnsi="Times New Roman" w:cs="Times New Roman"/>
          <w:sz w:val="24"/>
          <w:szCs w:val="24"/>
          <w:lang w:val="en-US" w:eastAsia="ru-RU"/>
        </w:rPr>
        <w:t>  </w:t>
      </w:r>
      <w:proofErr w:type="spellStart"/>
      <w:r w:rsidRPr="00EB12B8">
        <w:rPr>
          <w:rFonts w:ascii="Times New Roman" w:eastAsia="Times New Roman" w:hAnsi="Times New Roman" w:cs="Times New Roman"/>
          <w:sz w:val="24"/>
          <w:szCs w:val="24"/>
          <w:lang w:val="en-US" w:eastAsia="ru-RU"/>
        </w:rPr>
        <w:t>Commisssion</w:t>
      </w:r>
      <w:proofErr w:type="spellEnd"/>
      <w:proofErr w:type="gramEnd"/>
      <w:r w:rsidRPr="00EB12B8">
        <w:rPr>
          <w:rFonts w:ascii="Times New Roman" w:eastAsia="Times New Roman" w:hAnsi="Times New Roman" w:cs="Times New Roman"/>
          <w:sz w:val="24"/>
          <w:szCs w:val="24"/>
          <w:lang w:val="en-US" w:eastAsia="ru-RU"/>
        </w:rPr>
        <w:t xml:space="preserve"> which are in effect on the date that the United States of America deposits its instrument of ratification, </w:t>
      </w:r>
      <w:bookmarkStart w:id="0" w:name="_GoBack"/>
      <w:bookmarkEnd w:id="0"/>
      <w:r w:rsidRPr="00EB12B8">
        <w:rPr>
          <w:rFonts w:ascii="Times New Roman" w:eastAsia="Times New Roman" w:hAnsi="Times New Roman" w:cs="Times New Roman"/>
          <w:sz w:val="24"/>
          <w:szCs w:val="24"/>
          <w:lang w:val="en-US" w:eastAsia="ru-RU"/>
        </w:rPr>
        <w:t>unless the United States of America makes a later official</w:t>
      </w:r>
      <w:r>
        <w:rPr>
          <w:rFonts w:ascii="Times New Roman" w:eastAsia="Times New Roman" w:hAnsi="Times New Roman" w:cs="Times New Roman"/>
          <w:sz w:val="24"/>
          <w:szCs w:val="24"/>
          <w:lang w:val="en-US" w:eastAsia="ru-RU"/>
        </w:rPr>
        <w:t xml:space="preserve"> </w:t>
      </w:r>
      <w:r w:rsidRPr="00EB12B8">
        <w:rPr>
          <w:rFonts w:ascii="Times New Roman" w:eastAsia="Times New Roman" w:hAnsi="Times New Roman" w:cs="Times New Roman"/>
          <w:sz w:val="24"/>
          <w:szCs w:val="24"/>
          <w:lang w:val="en-US" w:eastAsia="ru-RU"/>
        </w:rPr>
        <w:t>determination to adopt and apply subsequent amendments to such</w:t>
      </w:r>
      <w:r>
        <w:rPr>
          <w:rFonts w:ascii="Times New Roman" w:eastAsia="Times New Roman" w:hAnsi="Times New Roman" w:cs="Times New Roman"/>
          <w:sz w:val="24"/>
          <w:szCs w:val="24"/>
          <w:lang w:val="en-US" w:eastAsia="ru-RU"/>
        </w:rPr>
        <w:t xml:space="preserve"> </w:t>
      </w:r>
      <w:r w:rsidRPr="00EB12B8">
        <w:rPr>
          <w:rFonts w:ascii="Times New Roman" w:eastAsia="Times New Roman" w:hAnsi="Times New Roman" w:cs="Times New Roman"/>
          <w:sz w:val="24"/>
          <w:szCs w:val="24"/>
          <w:lang w:val="en-US" w:eastAsia="ru-RU"/>
        </w:rPr>
        <w:t>rules.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                                                                              </w:t>
      </w:r>
    </w:p>
    <w:p w:rsidR="00EB12B8" w:rsidRPr="00EB12B8" w:rsidRDefault="00EB12B8"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ru-RU"/>
        </w:rPr>
      </w:pPr>
      <w:r w:rsidRPr="00EB12B8">
        <w:rPr>
          <w:rFonts w:ascii="Times New Roman" w:eastAsia="Times New Roman" w:hAnsi="Times New Roman" w:cs="Times New Roman"/>
          <w:sz w:val="24"/>
          <w:szCs w:val="24"/>
          <w:lang w:val="en-US" w:eastAsia="ru-RU"/>
        </w:rPr>
        <w:t>3.   The United States of America will apply the Convention,</w:t>
      </w:r>
      <w:r>
        <w:rPr>
          <w:rFonts w:ascii="Times New Roman" w:eastAsia="Times New Roman" w:hAnsi="Times New Roman" w:cs="Times New Roman"/>
          <w:sz w:val="24"/>
          <w:szCs w:val="24"/>
          <w:lang w:val="en-US" w:eastAsia="ru-RU"/>
        </w:rPr>
        <w:t xml:space="preserve"> </w:t>
      </w:r>
      <w:r w:rsidRPr="00EB12B8">
        <w:rPr>
          <w:rFonts w:ascii="Times New Roman" w:eastAsia="Times New Roman" w:hAnsi="Times New Roman" w:cs="Times New Roman"/>
          <w:sz w:val="24"/>
          <w:szCs w:val="24"/>
          <w:lang w:val="en-US" w:eastAsia="ru-RU"/>
        </w:rPr>
        <w:t>on the basis of reciprocity, to the recognition and enforcement of only those awards made in the territory of another Contracting State.</w:t>
      </w:r>
    </w:p>
    <w:p w:rsidR="00EB12B8" w:rsidRPr="00EB12B8" w:rsidRDefault="00EB12B8" w:rsidP="00EB12B8">
      <w:pPr>
        <w:jc w:val="both"/>
        <w:rPr>
          <w:rFonts w:ascii="Times New Roman" w:hAnsi="Times New Roman" w:cs="Times New Roman"/>
          <w:sz w:val="24"/>
          <w:szCs w:val="24"/>
          <w:lang w:val="en-US"/>
        </w:rPr>
      </w:pPr>
    </w:p>
    <w:sectPr w:rsidR="00EB12B8" w:rsidRPr="00EB12B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2F4" w:rsidRDefault="00FC52F4" w:rsidP="00242F51">
      <w:pPr>
        <w:spacing w:after="0" w:line="240" w:lineRule="auto"/>
      </w:pPr>
      <w:r>
        <w:separator/>
      </w:r>
    </w:p>
  </w:endnote>
  <w:endnote w:type="continuationSeparator" w:id="0">
    <w:p w:rsidR="00FC52F4" w:rsidRDefault="00FC52F4" w:rsidP="0024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840689"/>
      <w:docPartObj>
        <w:docPartGallery w:val="Page Numbers (Bottom of Page)"/>
        <w:docPartUnique/>
      </w:docPartObj>
    </w:sdtPr>
    <w:sdtContent>
      <w:p w:rsidR="00242F51" w:rsidRDefault="00242F51">
        <w:pPr>
          <w:pStyle w:val="a7"/>
          <w:jc w:val="right"/>
        </w:pPr>
        <w:r>
          <w:fldChar w:fldCharType="begin"/>
        </w:r>
        <w:r>
          <w:instrText>PAGE   \* MERGEFORMAT</w:instrText>
        </w:r>
        <w:r>
          <w:fldChar w:fldCharType="separate"/>
        </w:r>
        <w:r w:rsidR="00A510B9">
          <w:rPr>
            <w:noProof/>
          </w:rPr>
          <w:t>4</w:t>
        </w:r>
        <w:r>
          <w:fldChar w:fldCharType="end"/>
        </w:r>
      </w:p>
    </w:sdtContent>
  </w:sdt>
  <w:p w:rsidR="00242F51" w:rsidRDefault="00242F5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2F4" w:rsidRDefault="00FC52F4" w:rsidP="00242F51">
      <w:pPr>
        <w:spacing w:after="0" w:line="240" w:lineRule="auto"/>
      </w:pPr>
      <w:r>
        <w:separator/>
      </w:r>
    </w:p>
  </w:footnote>
  <w:footnote w:type="continuationSeparator" w:id="0">
    <w:p w:rsidR="00FC52F4" w:rsidRDefault="00FC52F4" w:rsidP="00242F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92"/>
    <w:rsid w:val="00242F51"/>
    <w:rsid w:val="007264AB"/>
    <w:rsid w:val="00A510B9"/>
    <w:rsid w:val="00A95D92"/>
    <w:rsid w:val="00EB12B8"/>
    <w:rsid w:val="00FC5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B8"/>
    <w:rPr>
      <w:rFonts w:ascii="Courier New" w:eastAsia="Times New Roman" w:hAnsi="Courier New" w:cs="Courier New"/>
      <w:sz w:val="20"/>
      <w:szCs w:val="20"/>
      <w:lang w:eastAsia="ru-RU"/>
    </w:rPr>
  </w:style>
  <w:style w:type="character" w:styleId="a4">
    <w:name w:val="Strong"/>
    <w:basedOn w:val="a0"/>
    <w:uiPriority w:val="22"/>
    <w:qFormat/>
    <w:rsid w:val="00EB12B8"/>
    <w:rPr>
      <w:b/>
      <w:bCs/>
    </w:rPr>
  </w:style>
  <w:style w:type="paragraph" w:styleId="a5">
    <w:name w:val="header"/>
    <w:basedOn w:val="a"/>
    <w:link w:val="a6"/>
    <w:uiPriority w:val="99"/>
    <w:unhideWhenUsed/>
    <w:rsid w:val="00242F5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2F51"/>
  </w:style>
  <w:style w:type="paragraph" w:styleId="a7">
    <w:name w:val="footer"/>
    <w:basedOn w:val="a"/>
    <w:link w:val="a8"/>
    <w:uiPriority w:val="99"/>
    <w:unhideWhenUsed/>
    <w:rsid w:val="00242F5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2F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B8"/>
    <w:rPr>
      <w:rFonts w:ascii="Courier New" w:eastAsia="Times New Roman" w:hAnsi="Courier New" w:cs="Courier New"/>
      <w:sz w:val="20"/>
      <w:szCs w:val="20"/>
      <w:lang w:eastAsia="ru-RU"/>
    </w:rPr>
  </w:style>
  <w:style w:type="character" w:styleId="a4">
    <w:name w:val="Strong"/>
    <w:basedOn w:val="a0"/>
    <w:uiPriority w:val="22"/>
    <w:qFormat/>
    <w:rsid w:val="00EB12B8"/>
    <w:rPr>
      <w:b/>
      <w:bCs/>
    </w:rPr>
  </w:style>
  <w:style w:type="paragraph" w:styleId="a5">
    <w:name w:val="header"/>
    <w:basedOn w:val="a"/>
    <w:link w:val="a6"/>
    <w:uiPriority w:val="99"/>
    <w:unhideWhenUsed/>
    <w:rsid w:val="00242F5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2F51"/>
  </w:style>
  <w:style w:type="paragraph" w:styleId="a7">
    <w:name w:val="footer"/>
    <w:basedOn w:val="a"/>
    <w:link w:val="a8"/>
    <w:uiPriority w:val="99"/>
    <w:unhideWhenUsed/>
    <w:rsid w:val="00242F5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2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258207">
      <w:bodyDiv w:val="1"/>
      <w:marLeft w:val="0"/>
      <w:marRight w:val="0"/>
      <w:marTop w:val="0"/>
      <w:marBottom w:val="0"/>
      <w:divBdr>
        <w:top w:val="none" w:sz="0" w:space="0" w:color="auto"/>
        <w:left w:val="none" w:sz="0" w:space="0" w:color="auto"/>
        <w:bottom w:val="none" w:sz="0" w:space="0" w:color="auto"/>
        <w:right w:val="none" w:sz="0" w:space="0" w:color="auto"/>
      </w:divBdr>
    </w:div>
    <w:div w:id="2025013920">
      <w:bodyDiv w:val="1"/>
      <w:marLeft w:val="0"/>
      <w:marRight w:val="0"/>
      <w:marTop w:val="0"/>
      <w:marBottom w:val="0"/>
      <w:divBdr>
        <w:top w:val="none" w:sz="0" w:space="0" w:color="auto"/>
        <w:left w:val="none" w:sz="0" w:space="0" w:color="auto"/>
        <w:bottom w:val="none" w:sz="0" w:space="0" w:color="auto"/>
        <w:right w:val="none" w:sz="0" w:space="0" w:color="auto"/>
      </w:divBdr>
      <w:divsChild>
        <w:div w:id="38340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09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261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1893</Words>
  <Characters>10795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MMM</cp:lastModifiedBy>
  <cp:revision>4</cp:revision>
  <dcterms:created xsi:type="dcterms:W3CDTF">2016-01-17T19:40:00Z</dcterms:created>
  <dcterms:modified xsi:type="dcterms:W3CDTF">2016-01-17T19:44:00Z</dcterms:modified>
</cp:coreProperties>
</file>