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en-US" w:eastAsia="ru-RU"/>
        </w:rPr>
        <w:t xml:space="preserve">U.S.A. - Uniform Arbitration Act </w:t>
      </w:r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8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1.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Validity of Arbitration Agreement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9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2.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Proceedings to Compel or Stay Arbitration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10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3.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Appointment of Arbitrators by Court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11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4.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Majority Action by Arbitrators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12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5.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Hearing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13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6.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Representation by Attorney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14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7.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Witnesses, Subpoenas, Depositions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15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8.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Award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16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9.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Change of Award by Arbitrators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17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10.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Fees and Expenses of Arbitration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18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11.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Confirmation of an Award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19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12.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Vacating an Award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20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13.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Modification or Correction of Award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21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14.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Judgment or Decree on Award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22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15.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Judgment Roll, Docketing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23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16.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Applications to Court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24" w:tgtFrame="_top" w:history="1">
        <w:proofErr w:type="spell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Section</w:t>
        </w:r>
        <w:proofErr w:type="spell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17. - </w:t>
        </w:r>
        <w:proofErr w:type="spell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Court</w:t>
        </w:r>
        <w:proofErr w:type="spell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, </w:t>
        </w:r>
        <w:proofErr w:type="spell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Jurisdiction</w:t>
        </w:r>
        <w:proofErr w:type="spell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hyperlink r:id="rId25" w:tgtFrame="_top" w:history="1">
        <w:proofErr w:type="spell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Section</w:t>
        </w:r>
        <w:proofErr w:type="spell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18. - </w:t>
        </w:r>
        <w:proofErr w:type="spell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>Venue</w:t>
        </w:r>
        <w:proofErr w:type="spell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ru-RU"/>
          </w:rPr>
          <w:t xml:space="preserve">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26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19.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Appeals </w:t>
        </w:r>
      </w:hyperlink>
    </w:p>
    <w:p w:rsidR="001F3F2F" w:rsidRPr="001F3F2F" w:rsidRDefault="001F3F2F" w:rsidP="00953906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hyperlink r:id="rId27" w:tgtFrame="_top" w:history="1">
        <w:proofErr w:type="gramStart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>Section 20.</w:t>
        </w:r>
        <w:proofErr w:type="gramEnd"/>
        <w:r w:rsidRPr="00953906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val="en-US" w:eastAsia="ru-RU"/>
          </w:rPr>
          <w:t xml:space="preserve"> - Act Not Retroactive </w:t>
        </w:r>
      </w:hyperlink>
    </w:p>
    <w:p w:rsidR="007264AB" w:rsidRPr="00953906" w:rsidRDefault="007264AB" w:rsidP="009539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U.S.A. - UNIFORM ARBITRATION ACT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********************************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VALIDITY OF ARBITRATION AGREEMENT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written agreement to submit any existing controversy to arbitration or a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provision in a written contract to submit to arbitration any controversy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thereafter arising between the parties is valid,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enforceable and irrevocable,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save upon such grounds as exist at law or in equity for the revocation of any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contract. This Act also applies to arbitration agreements between employers and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employees or between their respective representatives [unless otherwise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provided in the agreement].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2.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PROCEEDINGS TO COMPEL OR STAY ARBITRATION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(a) On application of a party showing an agreement described in section 1, and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opposing party's refusal to arbitrate, the court shall order the parties to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proceed with arbitration, but if the opposing party denies the existence of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agreement to arbitrate, the court shall proceed summarily to the determination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the issue so raised and shall order arbitration if found for the moving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party, otherwise, the application shall be denied.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(b) On application, the court may stay an arbitration proceeding commenced or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threatened on a showing that there is no agreement to arbitrate. Such an issue,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when in substantial and bona fide dispute, shall be forthwith and summarily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tried and the stay ordered if found for the moving party. </w:t>
      </w: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found for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opposing party, the court shall order the parties to proceed to arbitration.</w:t>
      </w:r>
      <w:proofErr w:type="gramEnd"/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(c) If an issue referable to arbitration under the alleged agreement is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involved in an action or proceeding pending in a court having jurisdiction to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hear applications under subdivision (a) of this section, the application shall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 made therein. Otherwise and subject to section 18, the application may be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made in any court of competent jurisdiction.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(d) Any action or proceeding involving an issue subject to arbitration shall be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stayed if an order for arbitration or an application therefor has been made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under this Section or, if the issue is severable, the stay may be with respect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thereto only. When the application is made in such action or proceeding,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 for arbitration shall include such stay.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(e) An order for arbitration shall not be refused on the ground that the claim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 issue lacks merit or bona fides or because any fault or grounds for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claim sought to be arbitrated have not been shown.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3.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APPOINTMENT OF ARBITRATORS BY COURT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the arbitration agreement provides a method of appointment of arbitrators,</w:t>
      </w:r>
      <w:r w:rsidR="009539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method shall be followed. In the absence thereof, or if the agreed method</w:t>
      </w:r>
      <w:r w:rsidR="009539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fails or for any reason cannot be followed, or when an arbitrator appointed</w:t>
      </w:r>
      <w:r w:rsidR="009539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fails or is unable to act and his successor has not been duly appointed, the</w:t>
      </w:r>
      <w:r w:rsidR="009539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court on application of a party shall appoint one or more arbitrators. An</w:t>
      </w:r>
      <w:r w:rsidR="009539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arbitrator so appointed has all the powers of one specifically named in the</w:t>
      </w:r>
      <w:r w:rsidR="0095390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agreement.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4.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MAJORITY ACTION BY ARBITRATORS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powers of the arbitrators may be exercised by a majority unless otherwise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provided by the agreement or by this act.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5.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HEARING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Unless otherwise provided by the agreement: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(a) The arbitrators shall appoint a time and place for the hearing and cause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notification to the parties to be served personally or by registered mail not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less than five days before the hearing. Appearance at the hearing waives such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notice. The arbitrators may adjourn the hearing from time to time as necessary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and, on request of a party and for good cause, or upon their own motion may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postpone the hearing to a time not later than the date fixed by the agreement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for making the award unless the parties consent to a later date.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arbitrators may hear and determine the controversy upon the evidence produced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notwithstanding the failure of a party duly notified to appear. The court on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application may direct the arbitrators to proceed promptly with the hearing and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determination of the controversy.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(b) The parties are entitled to be heard, to present evidence material to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controversy and to cross-examine witnesses appearing at the hearing.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(c) The hearing shall be conducted by all the arbitrators but a majority may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determine any question and render a final award. If, during the course o</w:t>
      </w:r>
      <w:bookmarkStart w:id="0" w:name="_GoBack"/>
      <w:bookmarkEnd w:id="0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hearing, an arbitrator for any reason ceases to act, the remaining arbitrator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 arbitrators appointed to act as neutrals may continue with the hearing and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determination of the controversy.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6.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REPRESENTATION BY ATTORNEY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 party has the right to be represented by an attorney at any proceeding or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hearing under this act. A waiver thereof prior to the proceeding or hearing is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ineffective.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7.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WITNESSES, SUBPOENAS, DEPOSITIONS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(a) The arbitrators may issue (cause to be issued) subpoenas for the attendance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of witnesses and for the production of books, records, documents and other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evidence, and shall have the power to administer oaths. Subpoenas so issued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shall be served, and upon application to the court by a party or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arbitrators, enforced, in the manner provided by law for the service and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enforcement of subpoenas in a civil action.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(b) On application of a party and for use as evidence, the arbitrators may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permit a deposition to be taken, in the manner and upon the terms designated by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arbitrators, of a witness who cannot be subpoenaed or is unable to attend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hearing.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(c) All provisions of law compelling a person under subpoena to testify are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applicable.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(d) Fees for attendance as a witness shall be the same as for a witness in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the... court.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8.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AWARD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(a) The award shall be in writing and signed by the arbitrators joining in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award. The arbitrators shall deliver a copy to each party personally or by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registered mail, or as provided in the agreement.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(b) An award shall be made within the time fixed therefor by the agreement or,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 not so fixed, within such time as the court orders on application of a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party. The parties may extend the time in writing either before or after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expiration thereof. A party waives the objection that an award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was not made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within the time required unless he notifies the arbitrators of his objection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prior to the delivery of the award to him.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9.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CHANGE OF AWARD BY ARBITRATORS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On application of a party or, if an application to the court is pending under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Sections 11, 12 or 13, on submission to the arbitrators by the court under such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conditions as the court may order, the arbitrators may modify or correct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award upon the grounds stated in paragraphs (1) and (3) of subdivision (a) of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13, or for the purpose of clarifying the award. The application shall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 made within twenty days after delivery of the award to the applicant.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Written notice thereof shall be given forthwith to the opposing party, stating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 must serve his objections thereto, if any, within ten days from the notice.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award so modified or corrected is subject to the provisions of Sections 11,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12 and 13.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10.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FEES AND EXPENSES OF ARBITRATION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Unless otherwise provided in the agreement to arbitrate, the arbitrators'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expenses and fees, </w:t>
      </w: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together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with other expenses, not including counsel fees,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incurred in the conduct of the arbitration, shall be paid as provided in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award.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11.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CONFIRMATION OF AN AWARD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Upon application of a party, the court shall confirm an award, unless within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time limits hereinafter imposed grounds are urged for vacating or modifying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 correcting the award, in which case the court shall proceed as provided in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Sections 12 and 13.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12.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VACATING AN AWARD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(a) Upon application of a party, the court shall vacate an award where: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(1) The award was procured by corruption, fraud or other undue means;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(2) There was evident partiality by an arbitrator appointed as a neutral or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corruption in any of the arbitrators or misconduct prejudicing the rights of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 party;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(3) The arbitrators exceeded their powers;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(4) The arbitrators refused to postpone the hearing upon sufficient cause being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shown therefor or refused to hear evidence material to the controversy or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otherwise so conducted the hearing, contrary to the provisions of section 5, as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to prejudice substantially the rights of a party; or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(5) There was no arbitration agreement and the issue was not adversely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determined in </w:t>
      </w: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proceedings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under section 2 and the party did not participate in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arbitration hearing without raising the objection; but the fact that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relief was such that it could not or would not be granted by a court of law or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equity is not ground for vacating or refusing to confirm the award.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(b) An application under this Section shall be made within ninety days after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delivery of a copy of the award to the applicant, except that, if predicated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upon corruption, fraud or other undue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means, it shall be made within ninety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days after such grounds are known or should have been known.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(c) In vacating the award on grounds other than stated in clause (5) of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subsection (a) the court may order a rehearing before new arbitrators chosen as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provided in the agreement, or in the absence thereof, by the court in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accordance with section 3, or if the award is vacated on grounds set forth in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clauses (3) and (4) of subsection (a) the court may order a rehearing before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arbitrators who made the award or their successors appointed in accordance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with section 3. The time within which the agreement requires the award to be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made is applicable to the rehearing and commences from the date of the order.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13.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MODIFICATION OR CORRECTION OF AWARD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(a) Upon application made within ninety days after delivery of a copy of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award to the applicant, the court shall modify or correct the award where: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(1) There was an evident miscalculation of figures or an evident mistake in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description of any person, thing or property referred to in the award;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(2) The arbitrators have awarded upon a matter not submitted to them and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award may be corrected without affecting the merits of the decision upon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issues submitted; or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(3) The award is imperfect in a matter of form, not affecting the merits of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controversy.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(b) If the application is granted, the court shall modify and correct the award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so as to </w:t>
      </w: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effect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its intent and shall confirm the award as so modified and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corrected. Otherwise, the court shall confirm the award as made.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(c) An application to modify or correct an award may be joined in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alternative with an application to vacate the award.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14.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JUDGMENT OR DECREE ON AWARD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Upon the granting of an order confirming, modifying or correcting an award,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judgment or decree shall be entered in conformity therewith and be enforced as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any other judgment or decree. Costs of the application and of the proceedings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subsequent thereto, and disbursements may be awarded by the court.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15.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JUDGMENT ROLL, DOCKETING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(a) On entry of judgment or decree, the clerk shall prepare the judgment roll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consisting, to the extent filed, of the following: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(1) The agreement and each written extension of the time within which to make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award;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(2) The award;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(3) A copy of the order confirming, modifying or correcting the award; and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(4) A copy of the judgment or decree.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(b) The judgment or decree may be docketed as if rendered in an action.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16.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APPLICATIONS TO COURT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Except as otherwise provided, an application to the court under this Act shall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 by motion and shall be heard in the manner and upon the notice provided by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law or rule of court for the making and hearing of motions.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Unless the parties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have agreed otherwise, notice of an initial application for an order shall be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served in the manner provided by law for the service of a summons in an action.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17.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COURT, JURISDICTION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The term "court" means any court of competent jurisdiction of this State.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making of an agreement described in section 1 providing for arbitration in this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State confers jurisdiction on the court to enforce the agreement under this Act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and to enter judgment on an award thereunder.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18.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VENUE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An initial application shall be made to the court of the [county] in which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agreement provides the arbitration hearing shall be held or, if the hearing has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been held, in the county in which it was held. Otherwise the application shall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be made in the [county] where the adverse party resides or has a place of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business or, if he has no residence or place of business in this State, to the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court of any [county]. All subsequent applications shall be made to the court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hearing the initial application unless the court otherwise directs.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19.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APPEALS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(a) An appeal may be taken from: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(1) An order denying an application to compel arbitration made under section 2;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(2) An order granting an application to stay arbitration made under section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2(b);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(3) An order confirming or denying confirmation of an award;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(4) An order modifying or correcting an award;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(5) An order vacating an award without directing a rehearing; or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(6) A judgment or decree entered pursuant to the provisions of this act.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(b) The appeal shall be taken in the manner and to the same extent as from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orders or judgments in a civil action.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SECTION 20.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- ACT NOT RETROACTIVE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lastRenderedPageBreak/>
        <w:t>---------------------------------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Act applies only to agreements made subsequent to the taking effect of</w:t>
      </w:r>
      <w:r w:rsidR="00FC7112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this act.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Title:  U.S.A. - Uniform Arbitration Act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Creator:  United States of America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Rights:  Copyright (C</w:t>
      </w: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)[</w:t>
      </w:r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United States of America]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Publisher:  </w:t>
      </w:r>
      <w:proofErr w:type="spell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SiSU</w:t>
      </w:r>
      <w:proofErr w:type="spell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http://www.jus.uio.no/sisu (this copy)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Sourcefile</w:t>
      </w:r>
      <w:proofErr w:type="spell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</w:t>
      </w:r>
      <w:proofErr w:type="spell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usa.uniform.arbitration.act.sst</w:t>
      </w:r>
      <w:proofErr w:type="spellEnd"/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</w:r>
      <w:proofErr w:type="spell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Filetype</w:t>
      </w:r>
      <w:proofErr w:type="spell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:  </w:t>
      </w:r>
      <w:proofErr w:type="spell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SiSU</w:t>
      </w:r>
      <w:proofErr w:type="spell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text 2.0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Source digest:  </w:t>
      </w: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SHA256(</w:t>
      </w:r>
      <w:proofErr w:type="spellStart"/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usa.uniform.arbitration.act.sst</w:t>
      </w:r>
      <w:proofErr w:type="spell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05fe014f03aeb1df0ae716e030f9448597bf905e79d95899e6e34019cd922b88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Skin digest:  </w:t>
      </w:r>
      <w:proofErr w:type="gram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SHA256(</w:t>
      </w:r>
      <w:proofErr w:type="spellStart"/>
      <w:proofErr w:type="gram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skin_lm.rb</w:t>
      </w:r>
      <w:proofErr w:type="spell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)=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             5acda64a9532f9ef6b71693da2b471d4efac2f23a8499e68de066eec8ea9b8e9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Generated by:  Generated by: </w:t>
      </w:r>
      <w:proofErr w:type="spell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SiSU</w:t>
      </w:r>
      <w:proofErr w:type="spell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2.6.3 of 2010w30/3 (2010-07-28)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 xml:space="preserve">Ruby version:  ruby 1.8.7 (2010-08-16 </w:t>
      </w:r>
      <w:proofErr w:type="spellStart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patchlevel</w:t>
      </w:r>
      <w:proofErr w:type="spellEnd"/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302) [i486-linux]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1F3F2F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ab/>
        <w:t>Document (dal) last generated:  Tue Sep 21 18:15:42 -0400 2010</w:t>
      </w:r>
    </w:p>
    <w:p w:rsidR="001F3F2F" w:rsidRPr="001F3F2F" w:rsidRDefault="001F3F2F" w:rsidP="0095390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1F3F2F" w:rsidRPr="00953906" w:rsidRDefault="001F3F2F" w:rsidP="009539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3F2F" w:rsidRPr="00953906" w:rsidRDefault="001F3F2F" w:rsidP="009539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1F3F2F" w:rsidRPr="00953906" w:rsidRDefault="001F3F2F" w:rsidP="0095390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1F3F2F" w:rsidRPr="00953906">
      <w:footerReference w:type="default" r:id="rId2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5042" w:rsidRDefault="00B55042" w:rsidP="00FC7112">
      <w:pPr>
        <w:spacing w:after="0" w:line="240" w:lineRule="auto"/>
      </w:pPr>
      <w:r>
        <w:separator/>
      </w:r>
    </w:p>
  </w:endnote>
  <w:endnote w:type="continuationSeparator" w:id="0">
    <w:p w:rsidR="00B55042" w:rsidRDefault="00B55042" w:rsidP="00FC71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275050294"/>
      <w:docPartObj>
        <w:docPartGallery w:val="Page Numbers (Bottom of Page)"/>
        <w:docPartUnique/>
      </w:docPartObj>
    </w:sdtPr>
    <w:sdtContent>
      <w:p w:rsidR="00FC7112" w:rsidRDefault="00FC7112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4FCD">
          <w:rPr>
            <w:noProof/>
          </w:rPr>
          <w:t>3</w:t>
        </w:r>
        <w:r>
          <w:fldChar w:fldCharType="end"/>
        </w:r>
      </w:p>
    </w:sdtContent>
  </w:sdt>
  <w:p w:rsidR="00FC7112" w:rsidRDefault="00FC7112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5042" w:rsidRDefault="00B55042" w:rsidP="00FC7112">
      <w:pPr>
        <w:spacing w:after="0" w:line="240" w:lineRule="auto"/>
      </w:pPr>
      <w:r>
        <w:separator/>
      </w:r>
    </w:p>
  </w:footnote>
  <w:footnote w:type="continuationSeparator" w:id="0">
    <w:p w:rsidR="00B55042" w:rsidRDefault="00B55042" w:rsidP="00FC71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1C057A"/>
    <w:multiLevelType w:val="multilevel"/>
    <w:tmpl w:val="727E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3F2F"/>
    <w:rsid w:val="001F3F2F"/>
    <w:rsid w:val="00704FCD"/>
    <w:rsid w:val="007264AB"/>
    <w:rsid w:val="00953906"/>
    <w:rsid w:val="00B55042"/>
    <w:rsid w:val="00FC7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3F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3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F3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F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3F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F3F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enterbold">
    <w:name w:val="centerbold"/>
    <w:basedOn w:val="a"/>
    <w:rsid w:val="001F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F3F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F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FC7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7112"/>
  </w:style>
  <w:style w:type="paragraph" w:styleId="a6">
    <w:name w:val="footer"/>
    <w:basedOn w:val="a"/>
    <w:link w:val="a7"/>
    <w:uiPriority w:val="99"/>
    <w:unhideWhenUsed/>
    <w:rsid w:val="00FC7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71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F3F2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F3F2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1F3F2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3F2F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F3F2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F3F2F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centerbold">
    <w:name w:val="centerbold"/>
    <w:basedOn w:val="a"/>
    <w:rsid w:val="001F3F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1F3F2F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1F3F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F3F2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4">
    <w:name w:val="header"/>
    <w:basedOn w:val="a"/>
    <w:link w:val="a5"/>
    <w:uiPriority w:val="99"/>
    <w:unhideWhenUsed/>
    <w:rsid w:val="00FC7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C7112"/>
  </w:style>
  <w:style w:type="paragraph" w:styleId="a6">
    <w:name w:val="footer"/>
    <w:basedOn w:val="a"/>
    <w:link w:val="a7"/>
    <w:uiPriority w:val="99"/>
    <w:unhideWhenUsed/>
    <w:rsid w:val="00FC71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FC71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213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2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6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us.uio.no/lm/usa.uniform.arbitration.act/1.html" TargetMode="External"/><Relationship Id="rId13" Type="http://schemas.openxmlformats.org/officeDocument/2006/relationships/hyperlink" Target="http://www.jus.uio.no/lm/usa.uniform.arbitration.act/6.html" TargetMode="External"/><Relationship Id="rId18" Type="http://schemas.openxmlformats.org/officeDocument/2006/relationships/hyperlink" Target="http://www.jus.uio.no/lm/usa.uniform.arbitration.act/11.html" TargetMode="External"/><Relationship Id="rId26" Type="http://schemas.openxmlformats.org/officeDocument/2006/relationships/hyperlink" Target="http://www.jus.uio.no/lm/usa.uniform.arbitration.act/19.html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://www.jus.uio.no/lm/usa.uniform.arbitration.act/14.html" TargetMode="External"/><Relationship Id="rId7" Type="http://schemas.openxmlformats.org/officeDocument/2006/relationships/endnotes" Target="endnotes.xml"/><Relationship Id="rId12" Type="http://schemas.openxmlformats.org/officeDocument/2006/relationships/hyperlink" Target="http://www.jus.uio.no/lm/usa.uniform.arbitration.act/5.html" TargetMode="External"/><Relationship Id="rId17" Type="http://schemas.openxmlformats.org/officeDocument/2006/relationships/hyperlink" Target="http://www.jus.uio.no/lm/usa.uniform.arbitration.act/10.html" TargetMode="External"/><Relationship Id="rId25" Type="http://schemas.openxmlformats.org/officeDocument/2006/relationships/hyperlink" Target="http://www.jus.uio.no/lm/usa.uniform.arbitration.act/18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jus.uio.no/lm/usa.uniform.arbitration.act/9.html" TargetMode="External"/><Relationship Id="rId20" Type="http://schemas.openxmlformats.org/officeDocument/2006/relationships/hyperlink" Target="http://www.jus.uio.no/lm/usa.uniform.arbitration.act/13.html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jus.uio.no/lm/usa.uniform.arbitration.act/4.html" TargetMode="External"/><Relationship Id="rId24" Type="http://schemas.openxmlformats.org/officeDocument/2006/relationships/hyperlink" Target="http://www.jus.uio.no/lm/usa.uniform.arbitration.act/17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jus.uio.no/lm/usa.uniform.arbitration.act/8.html" TargetMode="External"/><Relationship Id="rId23" Type="http://schemas.openxmlformats.org/officeDocument/2006/relationships/hyperlink" Target="http://www.jus.uio.no/lm/usa.uniform.arbitration.act/16.html" TargetMode="External"/><Relationship Id="rId28" Type="http://schemas.openxmlformats.org/officeDocument/2006/relationships/footer" Target="footer1.xml"/><Relationship Id="rId10" Type="http://schemas.openxmlformats.org/officeDocument/2006/relationships/hyperlink" Target="http://www.jus.uio.no/lm/usa.uniform.arbitration.act/3.html" TargetMode="External"/><Relationship Id="rId19" Type="http://schemas.openxmlformats.org/officeDocument/2006/relationships/hyperlink" Target="http://www.jus.uio.no/lm/usa.uniform.arbitration.act/1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jus.uio.no/lm/usa.uniform.arbitration.act/2.html" TargetMode="External"/><Relationship Id="rId14" Type="http://schemas.openxmlformats.org/officeDocument/2006/relationships/hyperlink" Target="http://www.jus.uio.no/lm/usa.uniform.arbitration.act/7.html" TargetMode="External"/><Relationship Id="rId22" Type="http://schemas.openxmlformats.org/officeDocument/2006/relationships/hyperlink" Target="http://www.jus.uio.no/lm/usa.uniform.arbitration.act/15.html" TargetMode="External"/><Relationship Id="rId27" Type="http://schemas.openxmlformats.org/officeDocument/2006/relationships/hyperlink" Target="http://www.jus.uio.no/lm/usa.uniform.arbitration.act/20.html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7</Pages>
  <Words>2587</Words>
  <Characters>14749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MMM</dc:creator>
  <cp:lastModifiedBy>MMM</cp:lastModifiedBy>
  <cp:revision>2</cp:revision>
  <dcterms:created xsi:type="dcterms:W3CDTF">2016-01-17T19:18:00Z</dcterms:created>
  <dcterms:modified xsi:type="dcterms:W3CDTF">2016-01-17T19:35:00Z</dcterms:modified>
</cp:coreProperties>
</file>