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1.png" ContentType="image/png"/>
  <Override PartName="/word/media/rId67.png" ContentType="image/png"/>
  <Override PartName="/word/media/rId64.png" ContentType="image/png"/>
  <Override PartName="/word/media/rId65.png" ContentType="image/png"/>
  <Override PartName="/word/media/rId87.png" ContentType="image/png"/>
  <Override PartName="/word/media/rId47.png" ContentType="image/png"/>
  <Override PartName="/word/media/rId29.png" ContentType="image/png"/>
  <Override PartName="/word/media/rId50.png" ContentType="image/png"/>
  <Override PartName="/word/media/rId49.png" ContentType="image/png"/>
  <Override PartName="/word/media/rId53.png" ContentType="image/png"/>
  <Override PartName="/word/media/rId54.png" ContentType="image/png"/>
  <Override PartName="/word/media/rId59.png" ContentType="image/png"/>
  <Override PartName="/word/media/rId57.png" ContentType="image/png"/>
  <Override PartName="/word/media/rId61.png" ContentType="image/png"/>
  <Override PartName="/word/media/rId8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7.png" ContentType="image/png"/>
  <Override PartName="/word/media/rId70.png" ContentType="image/png"/>
  <Override PartName="/word/media/rId79.png" ContentType="image/png"/>
  <Override PartName="/word/media/rId7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SUIVI</w:t>
      </w:r>
      <w:r>
        <w:t xml:space="preserve"> </w:t>
      </w:r>
      <w:r>
        <w:t xml:space="preserve">DENDROMÉTRIQUE</w:t>
      </w:r>
      <w:r>
        <w:t xml:space="preserve"> </w:t>
      </w:r>
      <w:r>
        <w:t xml:space="preserve">DES</w:t>
      </w:r>
      <w:r>
        <w:t xml:space="preserve"> </w:t>
      </w:r>
      <w:r>
        <w:t xml:space="preserve">ESPACES</w:t>
      </w:r>
      <w:r>
        <w:t xml:space="preserve"> </w:t>
      </w:r>
      <w:r>
        <w:t xml:space="preserve">PROTÉGÉS</w:t>
      </w:r>
    </w:p>
    <w:bookmarkStart w:id="21" w:name="dispositif-n2-rn-frankenthal"/>
    <w:p>
      <w:pPr>
        <w:pStyle w:val="Heading4"/>
      </w:pPr>
      <w:r>
        <w:t xml:space="preserve">Dispositif n°2 : RN Frankenthal</w:t>
      </w:r>
    </w:p>
    <w:bookmarkEnd w:id="21"/>
    <w:bookmarkStart w:id="22" w:name="presentation-du-site"/>
    <w:p>
      <w:pPr>
        <w:pStyle w:val="Heading2"/>
      </w:pPr>
      <w:r>
        <w:t xml:space="preserve">Présentation du site</w:t>
      </w:r>
    </w:p>
    <w:bookmarkEnd w:id="22"/>
    <w:bookmarkStart w:id="23" w:name="generalites"/>
    <w:p>
      <w:pPr>
        <w:pStyle w:val="Heading3"/>
      </w:pPr>
      <w:r>
        <w:t xml:space="preserve">Généralités</w:t>
      </w:r>
    </w:p>
    <w:bookmarkEnd w:id="23"/>
    <w:bookmarkStart w:id="24" w:name="renseignements-administratifs"/>
    <w:p>
      <w:pPr>
        <w:pStyle w:val="Heading4"/>
      </w:pPr>
      <w:r>
        <w:t xml:space="preserve">Renseignements administratifs</w:t>
      </w:r>
    </w:p>
    <w:bookmarkEnd w:id="24"/>
    <w:p>
      <w:r>
        <w:t xml:space="preserve">Nom : RN Frankenthal</w:t>
      </w:r>
      <w:r>
        <w:br w:type="textWrapping"/>
      </w:r>
      <w:r>
        <w:t xml:space="preserve">Commune(s):</w:t>
      </w:r>
      <w:r>
        <w:br w:type="textWrapping"/>
      </w:r>
      <w:r>
        <w:t xml:space="preserve">Département(s):</w:t>
      </w:r>
      <w:r>
        <w:br w:type="textWrapping"/>
      </w:r>
      <w:r>
        <w:t xml:space="preserve">Région(s):</w:t>
      </w:r>
      <w:r>
        <w:br w:type="textWrapping"/>
      </w:r>
      <w:r>
        <w:t xml:space="preserve">Pays : &amp; France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Statut1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 INPN</w:t>
            </w:r>
          </w:p>
        </w:tc>
        <w:tc>
          <w:p>
            <w:pPr>
              <w:pStyle w:val="Compact"/>
              <w:jc w:val="left"/>
            </w:pPr>
            <w:r>
              <w:t xml:space="preserve">FR3600126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746.36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 création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Start w:id="25" w:name="contacts"/>
    <w:p>
      <w:pPr>
        <w:pStyle w:val="Heading4"/>
      </w:pPr>
      <w:r>
        <w:t xml:space="preserve">Contacts</w:t>
      </w:r>
    </w:p>
    <w:bookmarkEnd w:id="25"/>
    <w:p>
      <w:r>
        <w:t xml:space="preserve">Organisme :</w:t>
      </w:r>
      <w:r>
        <w:br w:type="textWrapping"/>
      </w:r>
      <w:r>
        <w:t xml:space="preserve">Gestionnaire :</w:t>
      </w:r>
      <w:r>
        <w:br w:type="textWrapping"/>
      </w:r>
      <w:r>
        <w:t xml:space="preserve">Nom :</w:t>
      </w:r>
      <w:r>
        <w:br w:type="textWrapping"/>
      </w:r>
      <w:r>
        <w:t xml:space="preserve">Prénom :</w:t>
      </w:r>
      <w:r>
        <w:br w:type="textWrapping"/>
      </w:r>
      <w:r>
        <w:t xml:space="preserve">Adresse :</w:t>
      </w:r>
    </w:p>
    <w:p>
      <w:r>
        <w:t xml:space="preserve">Tel. :</w:t>
      </w:r>
      <w:r>
        <w:br w:type="textWrapping"/>
      </w:r>
      <w:r>
        <w:t xml:space="preserve">Email :</w:t>
      </w:r>
    </w:p>
    <w:bookmarkStart w:id="26" w:name="carte-de-localisation"/>
    <w:p>
      <w:pPr>
        <w:pStyle w:val="Heading4"/>
      </w:pPr>
      <w:r>
        <w:t xml:space="preserve">Carte de localisation</w:t>
      </w:r>
    </w:p>
    <w:bookmarkEnd w:id="26"/>
    <w:p>
      <w:r>
        <w:t xml:space="preserve">La carte située en figure</w:t>
      </w:r>
      <w:r>
        <w:t xml:space="preserve"> </w:t>
      </w:r>
      <w:r>
        <w:t xml:space="preserve"> </w:t>
      </w:r>
      <w:r>
        <w:t xml:space="preserve">présente la réserve sur un fond Google.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PlanL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milieux"/>
    <w:p>
      <w:pPr>
        <w:pStyle w:val="Heading4"/>
      </w:pPr>
      <w:r>
        <w:t xml:space="preserve">Milieux</w:t>
      </w:r>
    </w:p>
    <w:bookmarkEnd w:id="28"/>
    <w:p>
      <w:r>
        <w:t xml:space="preserve">La figure</w:t>
      </w:r>
      <w:r>
        <w:t xml:space="preserve"> </w:t>
      </w:r>
      <w:r>
        <w:t xml:space="preserve"> </w:t>
      </w:r>
      <w:r>
        <w:t xml:space="preserve">fournit la localisation de la réserve en France et dans sa sylvoécorégion.</w:t>
      </w:r>
      <w:r>
        <w:br w:type="textWrapping"/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Carte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Habitats :</w:t>
      </w:r>
      <w:r>
        <w:br w:type="textWrapping"/>
      </w:r>
      <w:r>
        <w:t xml:space="preserve">GRECO : &amp;</w:t>
      </w:r>
      <w:r>
        <w:br w:type="textWrapping"/>
      </w:r>
      <w:r>
        <w:t xml:space="preserve">Sylvoécorégions : Plaines alluviales et pimonts du Massif central</w:t>
      </w:r>
      <w:r>
        <w:br w:type="textWrapping"/>
      </w:r>
      <w:r>
        <w:t xml:space="preserve">Altitude min :</w:t>
      </w:r>
      <w:r>
        <w:br w:type="textWrapping"/>
      </w:r>
      <w:r>
        <w:t xml:space="preserve">Altitude max :</w:t>
      </w:r>
    </w:p>
    <w:bookmarkStart w:id="30" w:name="echantillonnage"/>
    <w:p>
      <w:pPr>
        <w:pStyle w:val="Heading4"/>
      </w:pPr>
      <w:r>
        <w:t xml:space="preserve">Echantillonnage</w:t>
      </w:r>
    </w:p>
    <w:bookmarkEnd w:id="30"/>
    <w:bookmarkStart w:id="31" w:name="strategie"/>
    <w:p>
      <w:pPr>
        <w:pStyle w:val="Heading5"/>
      </w:pPr>
      <w:r>
        <w:t xml:space="preserve">Stratégie</w:t>
      </w:r>
    </w:p>
    <w:bookmarkEnd w:id="31"/>
    <w:p>
      <w:r>
        <w:t xml:space="preserve">Installé en 2009, le dispositif a fait l’objet de 1 cycle(s) de mesure.</w:t>
      </w:r>
    </w:p>
    <w:p>
      <w:r>
        <w:t xml:space="preserve">La réserve a été divisée en strates. Le tableau</w:t>
      </w:r>
      <w:r>
        <w:t xml:space="preserve"> </w:t>
      </w:r>
      <w:r>
        <w:t xml:space="preserve"> </w:t>
      </w:r>
      <w:r>
        <w:t xml:space="preserve">résume les principaux paramètres de l'échantillonnage.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Strate1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Nom/raison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placettes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d’arbres</w:t>
            </w:r>
          </w:p>
        </w:tc>
        <w:tc>
          <w:p>
            <w:pPr>
              <w:pStyle w:val="Compact"/>
              <w:jc w:val="left"/>
            </w:pPr>
            <w:r>
              <w:t xml:space="preserve">3235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moyen d’arbres par placette</w:t>
            </w:r>
          </w:p>
        </w:tc>
        <w:tc>
          <w:p>
            <w:pPr>
              <w:pStyle w:val="Compact"/>
              <w:jc w:val="left"/>
            </w:pPr>
            <w:r>
              <w:t xml:space="preserve">28.1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Densité du maillage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Angle relascopique</w:t>
            </w:r>
          </w:p>
        </w:tc>
        <w:tc>
          <w:p>
            <w:pPr>
              <w:pStyle w:val="Compact"/>
              <w:jc w:val="left"/>
            </w:pPr>
            <w:r>
              <w:t xml:space="preserve">3 (115)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Diamètre de précomptage pour l'angle fixe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Start w:id="32" w:name="nombre-dindividus-echantillonnes"/>
    <w:p>
      <w:pPr>
        <w:pStyle w:val="Heading5"/>
      </w:pPr>
      <w:r>
        <w:t xml:space="preserve">Nombre d'individus échantillonnés</w:t>
      </w:r>
    </w:p>
    <w:bookmarkEnd w:id="32"/>
    <w:p>
      <w:pPr>
        <w:pStyle w:val="Compact"/>
        <w:numPr>
          <w:numId w:val="2"/>
          <w:ilvl w:val="0"/>
        </w:numPr>
      </w:pPr>
      <w:r>
        <w:t xml:space="preserve">3235 arbres morts sur pied ;</w:t>
      </w:r>
    </w:p>
    <w:p>
      <w:pPr>
        <w:pStyle w:val="Compact"/>
        <w:numPr>
          <w:numId w:val="2"/>
          <w:ilvl w:val="0"/>
        </w:numPr>
      </w:pPr>
      <w:r>
        <w:t xml:space="preserve">1280 billons au sol de diam sup à 30 cm ;</w:t>
      </w:r>
    </w:p>
    <w:p>
      <w:pPr>
        <w:pStyle w:val="Compact"/>
        <w:numPr>
          <w:numId w:val="2"/>
          <w:ilvl w:val="0"/>
        </w:numPr>
      </w:pPr>
      <w:r>
        <w:t xml:space="preserve">510 billons au sol de diam inf à 30 cm ;</w:t>
      </w:r>
    </w:p>
    <w:p>
      <w:pPr>
        <w:pStyle w:val="Compact"/>
        <w:numPr>
          <w:numId w:val="2"/>
          <w:ilvl w:val="0"/>
        </w:numPr>
      </w:pPr>
      <w:r>
        <w:t xml:space="preserve">154 relevés de régénération ;</w:t>
      </w:r>
    </w:p>
    <w:p>
      <w:r>
        <w:t xml:space="preserve">La figure</w:t>
      </w:r>
      <w:r>
        <w:t xml:space="preserve"> </w:t>
      </w:r>
      <w:r>
        <w:t xml:space="preserve"> </w:t>
      </w:r>
      <w:r>
        <w:t xml:space="preserve">située en annexe permet de vérifier si l'échantillon est en accord avec le protocole. Elle permet de détecter les arbres limites.</w:t>
      </w:r>
    </w:p>
    <w:p>
      <w:r>
        <w:t xml:space="preserve">Le tableau</w:t>
      </w:r>
      <w:r>
        <w:t xml:space="preserve"> </w:t>
      </w:r>
      <w:r>
        <w:t xml:space="preserve"> </w:t>
      </w:r>
      <w:r>
        <w:t xml:space="preserve">également situé en annexe rappelle les tarifs de cubage retenus par l'opérateur. Le tableau XXX fournit quand à lui le tarif de cubage volume géométrique bois fort tige obtenu à partir de la base de données de l'IFN.</w:t>
      </w:r>
    </w:p>
    <w:bookmarkStart w:id="33" w:name="tableaux-de-synthese"/>
    <w:p>
      <w:pPr>
        <w:pStyle w:val="Heading3"/>
      </w:pPr>
      <w:r>
        <w:t xml:space="preserve">Tableaux de synthèse</w:t>
      </w:r>
    </w:p>
    <w:bookmarkEnd w:id="33"/>
    <w:bookmarkStart w:id="34" w:name="arbres-vivants"/>
    <w:p>
      <w:pPr>
        <w:pStyle w:val="Heading4"/>
      </w:pPr>
      <w:r>
        <w:t xml:space="preserve">Arbres vivants</w:t>
      </w:r>
    </w:p>
    <w:bookmarkEnd w:id="34"/>
    <w:p>
      <w:r>
        <w:t xml:space="preserve">Le tableau</w:t>
      </w:r>
      <w:r>
        <w:t xml:space="preserve"> </w:t>
      </w:r>
      <w:r>
        <w:t xml:space="preserve"> </w:t>
      </w:r>
      <w:r>
        <w:t xml:space="preserve">fournit les principales caractéristiques dendrométriques (volume, surface terrière et nombre de tiges à l'hectare) des arbres vivants, accompagnées de leur coefficient de variation et précision.</w:t>
      </w:r>
    </w:p>
    <w:tbl>
      <w:tblPr>
        <w:tblStyle w:val="TableNormal"/>
        <w:tblCaption w:val="Principales caractéristiques dendrométriques, ainsi que leur précision.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Cycle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VhaIFN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Vha_cv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VhaIFN_cv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Gha_cv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Nha_cv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Vha_er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VhaIFN_er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Gha_er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Nha_er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p>
            <w:pPr>
              <w:pStyle w:val="Compact"/>
              <w:jc w:val="right"/>
            </w:pPr>
            <w:r>
              <w:t xml:space="preserve">41.9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40.1</w:t>
            </w:r>
          </w:p>
        </w:tc>
        <w:tc>
          <w:p>
            <w:pPr>
              <w:pStyle w:val="Compact"/>
              <w:jc w:val="right"/>
            </w:pPr>
            <w:r>
              <w:t xml:space="preserve">66.3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</w:tbl>
    <w:p>
      <w:pPr>
        <w:pStyle w:val="TableCaption"/>
      </w:pPr>
      <w:r>
        <w:t xml:space="preserve">Principales caractéristiques dendrométriques, ainsi que leur précision.</w:t>
      </w:r>
    </w:p>
    <w:p>
      <w:r>
        <w:t xml:space="preserve">La figure</w:t>
      </w:r>
      <w:r>
        <w:t xml:space="preserve"> </w:t>
      </w:r>
      <w:r>
        <w:t xml:space="preserve"> </w:t>
      </w:r>
      <w:r>
        <w:t xml:space="preserve">complète le tableau</w:t>
      </w:r>
      <w:r>
        <w:t xml:space="preserve"> </w:t>
      </w:r>
      <w:r>
        <w:t xml:space="preserve"> </w:t>
      </w:r>
      <w:r>
        <w:t xml:space="preserve">en illustrant la variabilité des données.</w:t>
      </w:r>
    </w:p>
    <w:p>
      <w:r>
        <w:drawing>
          <wp:inline>
            <wp:extent cx="10033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GraphDend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033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GraphDendr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033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GraphDendr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115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 in max(data$density): aucun argument pour max ; -Inf est renvoyé</w:t>
      </w:r>
    </w:p>
    <w:p>
      <w:r>
        <w:drawing>
          <wp:inline>
            <wp:extent cx="10033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GraphDendr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Le tableau</w:t>
      </w:r>
      <w:r>
        <w:t xml:space="preserve"> </w:t>
      </w:r>
      <w:r>
        <w:t xml:space="preserve"> </w:t>
      </w:r>
      <w:r>
        <w:t xml:space="preserve">fournit la répartition des principales caractéristiques dendrométriques (volume, surface terrière et nombre de tiges à l'hectare) des arbres vivants par catégories de diamètre, accompagnée de leur coefficient de variation et précision.</w:t>
      </w:r>
    </w:p>
    <w:tbl>
      <w:tblPr>
        <w:tblStyle w:val="TableNormal"/>
        <w:tblCaption w:val="Analyse de la structure des peuplements. Valeurs moyennes et précisions associées à l'échelle de la réserve.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Cycle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MoyVha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MoyVhaIFN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MoyGha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MoyNha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CVVha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CVVhaIFN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CVGha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CVNha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ErVha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ErVhaIFN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ErGha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ErNha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PER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108.2</w:t>
            </w:r>
          </w:p>
        </w:tc>
        <w:tc>
          <w:p>
            <w:pPr>
              <w:pStyle w:val="Compact"/>
              <w:jc w:val="right"/>
            </w:pPr>
            <w:r>
              <w:t xml:space="preserve">111.7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20.6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PB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93.6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93.4</w:t>
            </w:r>
          </w:p>
        </w:tc>
        <w:tc>
          <w:p>
            <w:pPr>
              <w:pStyle w:val="Compact"/>
              <w:jc w:val="right"/>
            </w:pPr>
            <w:r>
              <w:t xml:space="preserve">93.2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p>
            <w:pPr>
              <w:pStyle w:val="Compact"/>
              <w:jc w:val="right"/>
            </w:pPr>
            <w:r>
              <w:t xml:space="preserve">17.2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BM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76.1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75.9</w:t>
            </w:r>
          </w:p>
        </w:tc>
        <w:tc>
          <w:p>
            <w:pPr>
              <w:pStyle w:val="Compact"/>
              <w:jc w:val="right"/>
            </w:pPr>
            <w:r>
              <w:t xml:space="preserve">78.2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GB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98.0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97.5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TGB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135.9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135.3</w:t>
            </w:r>
          </w:p>
        </w:tc>
        <w:tc>
          <w:p>
            <w:pPr>
              <w:pStyle w:val="Compact"/>
              <w:jc w:val="right"/>
            </w:pPr>
            <w:r>
              <w:t xml:space="preserve">129.0</w:t>
            </w:r>
          </w:p>
        </w:tc>
        <w:tc>
          <w:p>
            <w:pPr>
              <w:pStyle w:val="Compact"/>
              <w:jc w:val="right"/>
            </w:pPr>
            <w:r>
              <w:t xml:space="preserve">25.1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23.8</w:t>
            </w:r>
          </w:p>
        </w:tc>
      </w:tr>
    </w:tbl>
    <w:p>
      <w:pPr>
        <w:pStyle w:val="TableCaption"/>
      </w:pPr>
      <w:r>
        <w:t xml:space="preserve">Analyse de la structure des peuplements. Valeurs moyennes et précisions associées à l'échelle de la réserve.</w:t>
      </w:r>
    </w:p>
    <w:bookmarkStart w:id="39" w:name="bois-morts"/>
    <w:p>
      <w:pPr>
        <w:pStyle w:val="Heading4"/>
      </w:pPr>
      <w:r>
        <w:t xml:space="preserve">Bois morts</w:t>
      </w:r>
    </w:p>
    <w:bookmarkEnd w:id="39"/>
    <w:p>
      <w:r>
        <w:t xml:space="preserve">Le tableau</w:t>
      </w:r>
      <w:r>
        <w:t xml:space="preserve"> </w:t>
      </w:r>
      <w:r>
        <w:t xml:space="preserve"> </w:t>
      </w:r>
      <w:r>
        <w:t xml:space="preserve">fournit l'importance globale du bois mort, ainsi que sa répartition en 4 grandes classes. Les moyennes sont accompagnées de leur précision. La légende du tableau est la suivante :</w:t>
      </w:r>
      <w:r>
        <w:br w:type="textWrapping"/>
      </w:r>
      <w:r>
        <w:t xml:space="preserve">VSinf = volume au sol inférieur à 30cm,</w:t>
      </w:r>
      <w:r>
        <w:br w:type="textWrapping"/>
      </w:r>
      <w:r>
        <w:t xml:space="preserve">VSsup = volume au sol supérieur à 30cm,</w:t>
      </w:r>
      <w:r>
        <w:br w:type="textWrapping"/>
      </w:r>
      <w:r>
        <w:t xml:space="preserve">VPinf = volume sur pied inférieur à 30cm,</w:t>
      </w:r>
      <w:r>
        <w:br w:type="textWrapping"/>
      </w:r>
      <w:r>
        <w:t xml:space="preserve">VPsup = volume sur pied supérieur à 30cm</w:t>
      </w:r>
    </w:p>
    <w:tbl>
      <w:tblPr>
        <w:tblStyle w:val="TableNormal"/>
        <w:tblCaption w:val="Importance et type de bois mort.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Cycle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VSinf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VSsup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VPinf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VPsup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VSinf_er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VSsup_er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VPinf_er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VPsup_er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VT_er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35.8</w:t>
            </w:r>
          </w:p>
        </w:tc>
        <w:tc>
          <w:p>
            <w:pPr>
              <w:pStyle w:val="Compact"/>
              <w:jc w:val="right"/>
            </w:pPr>
            <w:r>
              <w:t xml:space="preserve">13.4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101.4</w:t>
            </w:r>
          </w:p>
        </w:tc>
        <w:tc>
          <w:p>
            <w:pPr>
              <w:pStyle w:val="Compact"/>
              <w:jc w:val="right"/>
            </w:pPr>
            <w:r>
              <w:t xml:space="preserve">28.3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19.6</w:t>
            </w:r>
          </w:p>
        </w:tc>
        <w:tc>
          <w:p>
            <w:pPr>
              <w:pStyle w:val="Compact"/>
              <w:jc w:val="right"/>
            </w:pPr>
            <w:r>
              <w:t xml:space="preserve">27.7</w:t>
            </w:r>
          </w:p>
        </w:tc>
      </w:tr>
    </w:tbl>
    <w:p>
      <w:pPr>
        <w:pStyle w:val="TableCaption"/>
      </w:pPr>
      <w:r>
        <w:t xml:space="preserve">Importance et type de bois mort.</w:t>
      </w:r>
    </w:p>
    <w:p>
      <w:r>
        <w:t xml:space="preserve">La figure</w:t>
      </w:r>
      <w:r>
        <w:t xml:space="preserve"> </w:t>
      </w:r>
      <w:r>
        <w:t xml:space="preserve"> </w:t>
      </w:r>
      <w:r>
        <w:t xml:space="preserve">complète le tableau</w:t>
      </w:r>
      <w:r>
        <w:t xml:space="preserve"> </w:t>
      </w:r>
      <w:r>
        <w:t xml:space="preserve"> </w:t>
      </w:r>
      <w:r>
        <w:t xml:space="preserve">en illustrant la variabilité des données.</w:t>
      </w:r>
      <w:r>
        <w:br w:type="textWrapping"/>
      </w:r>
      <w:r>
        <w:drawing>
          <wp:inline>
            <wp:extent cx="10033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GraphBM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033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GraphBM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033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GraphBM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033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GraphBM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033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GraphBM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cartes-thematiques"/>
    <w:p>
      <w:pPr>
        <w:pStyle w:val="Heading3"/>
      </w:pPr>
      <w:r>
        <w:t xml:space="preserve">Cartes thématiques</w:t>
      </w:r>
    </w:p>
    <w:bookmarkEnd w:id="45"/>
    <w:bookmarkStart w:id="46" w:name="bois-vivant"/>
    <w:p>
      <w:pPr>
        <w:pStyle w:val="Heading4"/>
      </w:pPr>
      <w:r>
        <w:t xml:space="preserve">Bois vivant</w:t>
      </w:r>
    </w:p>
    <w:bookmarkEnd w:id="46"/>
    <w:p>
      <w:r>
        <w:t xml:space="preserve">La figure</w:t>
      </w:r>
      <w:r>
        <w:t xml:space="preserve"> </w:t>
      </w:r>
      <w:r>
        <w:t xml:space="preserve"> </w:t>
      </w:r>
      <w:r>
        <w:t xml:space="preserve">permet de localiser les placettes au sein du périmètre de la réserve. Elle fournit également la répartition du volume à l'hectare.</w:t>
      </w:r>
      <w:r>
        <w:br w:type="textWrapping"/>
      </w:r>
      <w:r>
        <w:drawing>
          <wp:inline>
            <wp:extent cx="46101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CartePlacet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bois-mort"/>
    <w:p>
      <w:pPr>
        <w:pStyle w:val="Heading4"/>
      </w:pPr>
      <w:r>
        <w:t xml:space="preserve">Bois mort</w:t>
      </w:r>
    </w:p>
    <w:bookmarkEnd w:id="48"/>
    <w:p>
      <w:r>
        <w:t xml:space="preserve">La figure</w:t>
      </w:r>
      <w:r>
        <w:t xml:space="preserve"> </w:t>
      </w:r>
      <w:r>
        <w:t xml:space="preserve"> </w:t>
      </w:r>
      <w:r>
        <w:t xml:space="preserve">permet de visualiser la répartition totale du bois mort.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CarteVolBM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610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CarteVolB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bois-vivant-1"/>
    <w:p>
      <w:pPr>
        <w:pStyle w:val="Heading2"/>
      </w:pPr>
      <w:r>
        <w:t xml:space="preserve">Bois vivant</w:t>
      </w:r>
    </w:p>
    <w:bookmarkEnd w:id="51"/>
    <w:bookmarkStart w:id="52" w:name="histogrammes"/>
    <w:p>
      <w:pPr>
        <w:pStyle w:val="Heading3"/>
      </w:pPr>
      <w:r>
        <w:t xml:space="preserve">Histogrammes</w:t>
      </w:r>
    </w:p>
    <w:bookmarkEnd w:id="52"/>
    <w:p>
      <w:r>
        <w:t xml:space="preserve">La figure</w:t>
      </w:r>
      <w:r>
        <w:t xml:space="preserve"> </w:t>
      </w:r>
      <w:r>
        <w:t xml:space="preserve"> </w:t>
      </w:r>
      <w:r>
        <w:t xml:space="preserve">permet de visualiser les histogrammes en volume et en nombre de tiges par classe de diamètre.</w:t>
      </w:r>
    </w:p>
    <w:p>
      <w:r>
        <w:drawing>
          <wp:inline>
            <wp:extent cx="29464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Clas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9464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Class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composition"/>
    <w:p>
      <w:pPr>
        <w:pStyle w:val="Heading3"/>
      </w:pPr>
      <w:r>
        <w:t xml:space="preserve">Composition</w:t>
      </w:r>
    </w:p>
    <w:bookmarkEnd w:id="55"/>
    <w:bookmarkStart w:id="56" w:name="biodiversite"/>
    <w:p>
      <w:pPr>
        <w:pStyle w:val="Heading4"/>
      </w:pPr>
      <w:r>
        <w:t xml:space="preserve">Biodiversité</w:t>
      </w:r>
    </w:p>
    <w:bookmarkEnd w:id="56"/>
    <w:p>
      <w:r>
        <w:t xml:space="preserve">Le dispositif possède au total 12 espèces sous forme de semis, de brins de taillis ou d'arbres de franc-pied. La figure</w:t>
      </w:r>
      <w:r>
        <w:t xml:space="preserve"> </w:t>
      </w:r>
      <w:r>
        <w:t xml:space="preserve"> </w:t>
      </w:r>
      <w:r>
        <w:t xml:space="preserve">donne une image de l'importance des essences dans chacun des stades de vie de l'arbre. Elle fournit la composition en pourcentage du volume pour les arbres (diamètre supérieur à 7,5cm) du recouvrement pour les semis inférieur à 50 cm de haut, et du nombre de tiges pour les différentes classes (class1, class2, class3) de semis de hauteur supérieure à 50 cm. Lorsqu'une classe de semis est absente, elle n'est pas représentée.</w:t>
      </w:r>
      <w:r>
        <w:br w:type="textWrapping"/>
      </w:r>
      <w:r>
        <w:t xml:space="preserve">Cette figure</w:t>
      </w:r>
      <w:r>
        <w:t xml:space="preserve"> </w:t>
      </w:r>
      <w:r>
        <w:t xml:space="preserve"> </w:t>
      </w:r>
      <w:r>
        <w:t xml:space="preserve">est une représentation visuelle de l'indice de biodiversité de Shannon.</w:t>
      </w:r>
    </w:p>
    <w:p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CompoGlob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importance-relative"/>
    <w:p>
      <w:pPr>
        <w:pStyle w:val="Heading4"/>
      </w:pPr>
      <w:r>
        <w:t xml:space="preserve">Importance relative</w:t>
      </w:r>
    </w:p>
    <w:bookmarkEnd w:id="58"/>
    <w:p>
      <w:r>
        <w:t xml:space="preserve">La figure</w:t>
      </w:r>
      <w:r>
        <w:t xml:space="preserve"> </w:t>
      </w:r>
      <w:r>
        <w:t xml:space="preserve"> </w:t>
      </w:r>
      <w:r>
        <w:t xml:space="preserve">illustre l'importance relative des différentes essences. Elle est constituée de 2 graphiques :</w:t>
      </w:r>
      <w:r>
        <w:br w:type="textWrapping"/>
      </w:r>
      <w:r>
        <w:t xml:space="preserve">- Celui de gauche fournit l'importance des différentes essences en nombre de tige (Nha), volume (Vha).</w:t>
      </w:r>
      <w:r>
        <w:br w:type="textWrapping"/>
      </w:r>
      <w:r>
        <w:t xml:space="preserve">- Celui de droite fournit la répartition en nombre de tiges par classes de diamètre des différentes essences.</w:t>
      </w:r>
    </w:p>
    <w:p>
      <w:r>
        <w:drawing>
          <wp:inline>
            <wp:extent cx="830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Comp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composition-et-structure"/>
    <w:p>
      <w:pPr>
        <w:pStyle w:val="Heading4"/>
      </w:pPr>
      <w:r>
        <w:t xml:space="preserve">Composition et structure</w:t>
      </w:r>
    </w:p>
    <w:bookmarkEnd w:id="60"/>
    <w:p>
      <w:r>
        <w:t xml:space="preserve">La figure</w:t>
      </w:r>
      <w:r>
        <w:t xml:space="preserve"> </w:t>
      </w:r>
      <w:r>
        <w:t xml:space="preserve"> </w:t>
      </w:r>
      <w:r>
        <w:t xml:space="preserve">illustre</w:t>
      </w:r>
    </w:p>
    <w:p>
      <w:r>
        <w:drawing>
          <wp:inline>
            <wp:extent cx="83058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Comp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2" w:name="bois-mort-1"/>
    <w:p>
      <w:pPr>
        <w:pStyle w:val="Heading2"/>
      </w:pPr>
      <w:r>
        <w:t xml:space="preserve">Bois mort</w:t>
      </w:r>
    </w:p>
    <w:bookmarkEnd w:id="62"/>
    <w:bookmarkStart w:id="63" w:name="repartition-par-stade-de-decomposition"/>
    <w:p>
      <w:pPr>
        <w:pStyle w:val="Heading3"/>
      </w:pPr>
      <w:r>
        <w:t xml:space="preserve">Répartition par stade de décomposition</w:t>
      </w:r>
    </w:p>
    <w:bookmarkEnd w:id="63"/>
    <w:p>
      <w:r>
        <w:t xml:space="preserve">La figure</w:t>
      </w:r>
      <w:r>
        <w:t xml:space="preserve"> </w:t>
      </w:r>
      <w:r>
        <w:t xml:space="preserve"> </w:t>
      </w:r>
      <w:r>
        <w:t xml:space="preserve">fournit l'importance du bois mort exprimée en volume, par grande catégorie de dimension et par stade de décomposition.</w:t>
      </w:r>
      <w:r>
        <w:br w:type="textWrapping"/>
      </w:r>
      <w:r>
        <w:drawing>
          <wp:inline>
            <wp:extent cx="32258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BMStad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BMStad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6" w:name="repartition-du-bois-mort-sur-pied-par-type"/>
    <w:p>
      <w:pPr>
        <w:pStyle w:val="Heading3"/>
      </w:pPr>
      <w:r>
        <w:t xml:space="preserve">Répartition du bois mort sur pied par type</w:t>
      </w:r>
    </w:p>
    <w:bookmarkEnd w:id="66"/>
    <w:p>
      <w:r>
        <w:drawing>
          <wp:inline>
            <wp:extent cx="46101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BMPtyp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ratio-bois-mort-sur-bois-vivant"/>
    <w:p>
      <w:pPr>
        <w:pStyle w:val="Heading3"/>
      </w:pPr>
      <w:r>
        <w:t xml:space="preserve">Ratio bois mort sur bois vivant</w:t>
      </w:r>
    </w:p>
    <w:bookmarkEnd w:id="68"/>
    <w:bookmarkStart w:id="69" w:name="par-classe-de-diametre"/>
    <w:p>
      <w:pPr>
        <w:pStyle w:val="Heading4"/>
      </w:pPr>
      <w:r>
        <w:t xml:space="preserve">Par classe de diamètre</w:t>
      </w:r>
    </w:p>
    <w:bookmarkEnd w:id="69"/>
    <w:p>
      <w:r>
        <w:drawing>
          <wp:inline>
            <wp:extent cx="46101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repartition-du-volume"/>
    <w:p>
      <w:pPr>
        <w:pStyle w:val="Heading4"/>
      </w:pPr>
      <w:r>
        <w:t xml:space="preserve">Répartition du volume</w:t>
      </w:r>
    </w:p>
    <w:bookmarkEnd w:id="71"/>
    <w:p>
      <w:r>
        <w:drawing>
          <wp:inline>
            <wp:extent cx="46101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RepV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3" w:name="codes-ecologiques"/>
    <w:p>
      <w:pPr>
        <w:pStyle w:val="Heading2"/>
      </w:pPr>
      <w:r>
        <w:t xml:space="preserve">Codes écologiques</w:t>
      </w:r>
    </w:p>
    <w:bookmarkEnd w:id="73"/>
    <w:bookmarkStart w:id="74" w:name="microhabitats"/>
    <w:p>
      <w:pPr>
        <w:pStyle w:val="Heading3"/>
      </w:pPr>
      <w:r>
        <w:t xml:space="preserve">microhabitats</w:t>
      </w:r>
    </w:p>
    <w:bookmarkEnd w:id="74"/>
    <w:p>
      <w:r>
        <w:t xml:space="preserve">Hist : N ou N arbres porteurs microhabitats (sous ensemble position)</w:t>
      </w:r>
    </w:p>
    <w:p>
      <w:r>
        <w:t xml:space="preserve">Hist : N microhabitats ou N arbres porteurs microhabitats (vitalité)</w:t>
      </w:r>
    </w:p>
    <w:p>
      <w:r>
        <w:t xml:space="preserve">Graph : Note écologique/essence/cat diamètre</w:t>
      </w:r>
    </w:p>
    <w:p>
      <w:r>
        <w:t xml:space="preserve">Graph : camemberts essences / hist (Ncodes/ha/essence) /codes regroupés</w:t>
      </w:r>
    </w:p>
    <w:bookmarkStart w:id="75" w:name="etat-de-conservation"/>
    <w:p>
      <w:pPr>
        <w:pStyle w:val="Heading3"/>
      </w:pPr>
      <w:r>
        <w:t xml:space="preserve">État de conservation</w:t>
      </w:r>
    </w:p>
    <w:bookmarkEnd w:id="75"/>
    <w:p>
      <w:r>
        <w:t xml:space="preserve">Tableau essences autochtones / allochtones</w:t>
      </w:r>
    </w:p>
    <w:bookmarkStart w:id="76" w:name="renouvellement"/>
    <w:p>
      <w:pPr>
        <w:pStyle w:val="Heading2"/>
      </w:pPr>
      <w:r>
        <w:t xml:space="preserve">Renouvellement</w:t>
      </w:r>
    </w:p>
    <w:bookmarkEnd w:id="76"/>
    <w:bookmarkStart w:id="77" w:name="regeneration"/>
    <w:p>
      <w:pPr>
        <w:pStyle w:val="Heading3"/>
      </w:pPr>
      <w:r>
        <w:t xml:space="preserve">Régénération</w:t>
      </w:r>
    </w:p>
    <w:bookmarkEnd w:id="77"/>
    <w:bookmarkStart w:id="78" w:name="par-stade-de-developpement"/>
    <w:p>
      <w:pPr>
        <w:pStyle w:val="Heading4"/>
      </w:pPr>
      <w:r>
        <w:t xml:space="preserve">Par stade de développement</w:t>
      </w:r>
    </w:p>
    <w:bookmarkEnd w:id="78"/>
    <w:p>
      <w:r>
        <w:drawing>
          <wp:inline>
            <wp:extent cx="4610100" cy="229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Reg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0" w:name="abroutissement"/>
    <w:p>
      <w:pPr>
        <w:pStyle w:val="Heading4"/>
      </w:pPr>
      <w:r>
        <w:t xml:space="preserve">Abroutissement</w:t>
      </w:r>
    </w:p>
    <w:bookmarkEnd w:id="80"/>
    <w:p>
      <w:r>
        <w:drawing>
          <wp:inline>
            <wp:extent cx="3695700" cy="184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Abroutiss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2" w:name="annexes"/>
    <w:p>
      <w:pPr>
        <w:pStyle w:val="Heading2"/>
      </w:pPr>
      <w:r>
        <w:t xml:space="preserve">Annexes</w:t>
      </w:r>
    </w:p>
    <w:bookmarkEnd w:id="82"/>
    <w:bookmarkStart w:id="83" w:name="analyse-de-lechantillon"/>
    <w:p>
      <w:pPr>
        <w:pStyle w:val="Heading3"/>
      </w:pPr>
      <w:r>
        <w:t xml:space="preserve">Analyse de l'échantillon</w:t>
      </w:r>
    </w:p>
    <w:bookmarkEnd w:id="83"/>
    <w:bookmarkStart w:id="84" w:name="adequation-echantillonprotocole"/>
    <w:p>
      <w:pPr>
        <w:pStyle w:val="Heading4"/>
      </w:pPr>
      <w:r>
        <w:t xml:space="preserve">Adéquation échantillon/protocole</w:t>
      </w:r>
    </w:p>
    <w:bookmarkEnd w:id="84"/>
    <w:p>
      <w:r>
        <w:drawing>
          <wp:inline>
            <wp:extent cx="46101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Diam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6" w:name="richesse-en-especes-ligneuses"/>
    <w:p>
      <w:pPr>
        <w:pStyle w:val="Heading4"/>
      </w:pPr>
      <w:r>
        <w:t xml:space="preserve">Richesse en espèces ligneuses</w:t>
      </w:r>
    </w:p>
    <w:bookmarkEnd w:id="86"/>
    <w:p>
      <w:r>
        <w:drawing>
          <wp:inline>
            <wp:extent cx="46101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sdrfCarnet_files/figure-docx/Bootstr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b0e1e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220f2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1" Target="media/rId81.png" /><Relationship Type="http://schemas.openxmlformats.org/officeDocument/2006/relationships/image" Id="rId67" Target="media/rId67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87" Target="media/rId87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85" Target="media/rId85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70" Target="media/rId70.png" /><Relationship Type="http://schemas.openxmlformats.org/officeDocument/2006/relationships/image" Id="rId79" Target="media/rId79.png" /><Relationship Type="http://schemas.openxmlformats.org/officeDocument/2006/relationships/image" Id="rId72" Target="media/rId7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DENDROMÉTRIQUE DES ESPACES PROTÉGÉS</dc:title>
  <dc:creator/>
</cp:coreProperties>
</file>