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20" w:line="276" w:lineRule="auto"/>
        <w:jc w:val="center"/>
        <w:rPr>
          <w:rFonts w:ascii="Arial" w:cs="Arial" w:eastAsia="Arial" w:hAnsi="Arial"/>
        </w:rPr>
      </w:pPr>
      <w:r w:rsidDel="00000000" w:rsidR="00000000" w:rsidRPr="00000000">
        <w:rPr>
          <w:rFonts w:ascii="Arial" w:cs="Arial" w:eastAsia="Arial" w:hAnsi="Arial"/>
          <w:b w:val="1"/>
          <w:bCs w:val="1"/>
          <w:sz w:val="35"/>
          <w:szCs w:val="35"/>
        </w:rPr>
        <w:drawing>
          <wp:inline distB="114300" distT="114300" distL="114300" distR="114300">
            <wp:extent cx="1692112" cy="25819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2112" cy="25819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UNIVERSIDAD TECNOLÓGICA NACIONAL </w:t>
      </w:r>
    </w:p>
    <w:p w:rsidR="00000000" w:rsidDel="00000000" w:rsidP="00000000" w:rsidRDefault="00000000" w:rsidRPr="00000000" w14:paraId="00000003">
      <w:pPr>
        <w:spacing w:after="0" w:line="276" w:lineRule="auto"/>
        <w:jc w:val="center"/>
        <w:rPr>
          <w:rFonts w:ascii="Arial" w:cs="Arial" w:eastAsia="Arial" w:hAnsi="Arial"/>
        </w:rPr>
      </w:pPr>
      <w:r w:rsidDel="00000000" w:rsidR="00000000" w:rsidRPr="00000000">
        <w:rPr>
          <w:rFonts w:ascii="Arial" w:cs="Arial" w:eastAsia="Arial" w:hAnsi="Arial"/>
          <w:b w:val="1"/>
          <w:bCs w:val="1"/>
          <w:sz w:val="34"/>
          <w:szCs w:val="34"/>
          <w:rtl w:val="0"/>
        </w:rPr>
        <w:t xml:space="preserve">FACULTAD REGIONAL RESISTENCIA </w:t>
      </w: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sz w:val="26"/>
          <w:szCs w:val="26"/>
        </w:rPr>
      </w:pPr>
      <w:r w:rsidDel="00000000" w:rsidR="00000000" w:rsidRPr="00000000">
        <w:rPr>
          <w:rFonts w:ascii="Arial" w:cs="Arial" w:eastAsia="Arial" w:hAnsi="Arial"/>
          <w:sz w:val="30"/>
          <w:szCs w:val="30"/>
          <w:rtl w:val="0"/>
        </w:rPr>
        <w:t xml:space="preserve">Ingeniería en sistemas de Información</w:t>
      </w: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6">
      <w:pPr>
        <w:spacing w:after="0" w:line="276"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DevOps</w:t>
      </w:r>
    </w:p>
    <w:p w:rsidR="00000000" w:rsidDel="00000000" w:rsidP="00000000" w:rsidRDefault="00000000" w:rsidRPr="00000000" w14:paraId="00000007">
      <w:pPr>
        <w:spacing w:after="0" w:line="276"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Trabajo Práctico N.º 1</w:t>
      </w: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0A">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Beneyto, Mateo</w:t>
      </w:r>
    </w:p>
    <w:p w:rsidR="00000000" w:rsidDel="00000000" w:rsidP="00000000" w:rsidRDefault="00000000" w:rsidRPr="00000000" w14:paraId="0000000B">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Cocito, Maximiliano</w:t>
      </w:r>
    </w:p>
    <w:p w:rsidR="00000000" w:rsidDel="00000000" w:rsidP="00000000" w:rsidRDefault="00000000" w:rsidRPr="00000000" w14:paraId="0000000C">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Gonzales, Florencia</w:t>
      </w:r>
    </w:p>
    <w:p w:rsidR="00000000" w:rsidDel="00000000" w:rsidP="00000000" w:rsidRDefault="00000000" w:rsidRPr="00000000" w14:paraId="0000000D">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Machuanin, Ezequiel</w:t>
      </w:r>
    </w:p>
    <w:p w:rsidR="00000000" w:rsidDel="00000000" w:rsidP="00000000" w:rsidRDefault="00000000" w:rsidRPr="00000000" w14:paraId="0000000E">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Profesores:</w:t>
      </w:r>
    </w:p>
    <w:p w:rsidR="00000000" w:rsidDel="00000000" w:rsidP="00000000" w:rsidRDefault="00000000" w:rsidRPr="00000000" w14:paraId="00000010">
      <w:pPr>
        <w:numPr>
          <w:ilvl w:val="0"/>
          <w:numId w:val="2"/>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Fernandez, José</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Arial" w:cs="Arial" w:eastAsia="Arial" w:hAnsi="Arial"/>
        </w:rPr>
      </w:pPr>
      <w:r w:rsidDel="00000000" w:rsidR="00000000" w:rsidRPr="00000000">
        <w:rPr>
          <w:rFonts w:ascii="Arial" w:cs="Arial" w:eastAsia="Arial" w:hAnsi="Arial"/>
          <w:rtl w:val="0"/>
        </w:rPr>
        <w:t xml:space="preserve">1. Introducción y objetivo</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El proyecto consiste en una aplicación de subastas en tiempo real: se publica un ítem con un tiempo límite, distintos usuarios pujan por él, y gana el monto más alto cuando expira el plazo. Las pujas y el cierre de la subasta se reflejan en la pantalla de todos los usuarios conectados sin necesidad de recargar la página.</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La lógica de negocio de la subasta es el vehículo del trabajo, no su objetivo real: el TP existe para aplicar y demostrar conceptos de contenedores y DevOps — separación de servicios en contenedores, uso de Redis como estado compartido, publicación de imágenes en un registry mediante integración continua, despliegue en la nube desde ese registry, y un proxy reverso con balanceo y tolerancia a fallos.</w:t>
      </w:r>
    </w:p>
    <w:p w:rsidR="00000000" w:rsidDel="00000000" w:rsidP="00000000" w:rsidRDefault="00000000" w:rsidRPr="00000000" w14:paraId="00000014">
      <w:pPr>
        <w:pStyle w:val="Heading1"/>
        <w:rPr>
          <w:rFonts w:ascii="Arial" w:cs="Arial" w:eastAsia="Arial" w:hAnsi="Arial"/>
        </w:rPr>
      </w:pPr>
      <w:r w:rsidDel="00000000" w:rsidR="00000000" w:rsidRPr="00000000">
        <w:rPr>
          <w:rFonts w:ascii="Arial" w:cs="Arial" w:eastAsia="Arial" w:hAnsi="Arial"/>
          <w:rtl w:val="0"/>
        </w:rPr>
        <w:t xml:space="preserve">2. Resultados obtenidos</w:t>
      </w:r>
    </w:p>
    <w:p w:rsidR="00000000" w:rsidDel="00000000" w:rsidP="00000000" w:rsidRDefault="00000000" w:rsidRPr="00000000" w14:paraId="00000015">
      <w:pPr>
        <w:pStyle w:val="Heading2"/>
        <w:rPr>
          <w:rFonts w:ascii="Arial" w:cs="Arial" w:eastAsia="Arial" w:hAnsi="Arial"/>
        </w:rPr>
      </w:pPr>
      <w:r w:rsidDel="00000000" w:rsidR="00000000" w:rsidRPr="00000000">
        <w:rPr>
          <w:rFonts w:ascii="Arial" w:cs="Arial" w:eastAsia="Arial" w:hAnsi="Arial"/>
          <w:rtl w:val="0"/>
        </w:rPr>
        <w:t xml:space="preserve">2.1 Arquitectura implementada</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rtl w:val="0"/>
        </w:rPr>
        <w:t xml:space="preserve">El sistema está compuesto por cuatro servicios contenerizados, orquestados con Docker Compose en el entorno local:</w:t>
      </w:r>
    </w:p>
    <w:tbl>
      <w:tblPr>
        <w:tblStyle w:val="Table1"/>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f2937" w:val="clea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color w:val="ffffff"/>
                <w:rtl w:val="0"/>
              </w:rPr>
              <w:t xml:space="preserve">Servicio</w:t>
            </w:r>
            <w:r w:rsidDel="00000000" w:rsidR="00000000" w:rsidRPr="00000000">
              <w:rPr>
                <w:rtl w:val="0"/>
              </w:rPr>
            </w:r>
          </w:p>
        </w:tc>
        <w:tc>
          <w:tcPr>
            <w:shd w:fill="1f2937" w:val="cle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color w:val="ffffff"/>
                <w:rtl w:val="0"/>
              </w:rPr>
              <w:t xml:space="preserve">Rol</w:t>
            </w:r>
            <w:r w:rsidDel="00000000" w:rsidR="00000000" w:rsidRPr="00000000">
              <w:rPr>
                <w:rtl w:val="0"/>
              </w:rPr>
            </w:r>
          </w:p>
        </w:tc>
        <w:tc>
          <w:tcPr>
            <w:shd w:fill="1f2937" w:val="cle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color w:val="ffffff"/>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Traefik</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Proxy reverso</w:t>
            </w:r>
          </w:p>
        </w:tc>
        <w:tc>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Enruta "/" a la web y "/api" a la API; balancea entre 3 réplicas con sticky cookie para WebSockets.</w:t>
            </w:r>
          </w:p>
        </w:tc>
      </w:tr>
      <w:tr>
        <w:trPr>
          <w:cantSplit w:val="0"/>
          <w:tblHeader w:val="0"/>
        </w:trPr>
        <w:tc>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Web</w:t>
            </w:r>
          </w:p>
        </w:tc>
        <w:tc>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Frontend</w:t>
            </w:r>
          </w:p>
        </w:tc>
        <w:tc>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React + Vite, servido por nginx. Nunca se conecta directo a Redis.</w:t>
            </w:r>
          </w:p>
        </w:tc>
      </w:tr>
      <w:tr>
        <w:trPr>
          <w:cantSplit w:val="0"/>
          <w:tblHeader w:val="0"/>
        </w:trPr>
        <w:tc>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API (x3 réplicas)</w:t>
            </w:r>
          </w:p>
        </w:tc>
        <w:tc>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Backend</w:t>
            </w:r>
          </w:p>
        </w:tc>
        <w:tc>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NestJS. Único servicio con acceso a Redis. Expone REST y WebSocket.</w:t>
            </w:r>
          </w:p>
        </w:tc>
      </w:tr>
      <w:tr>
        <w:trPr>
          <w:cantSplit w:val="0"/>
          <w:tblHeader w:val="0"/>
        </w:trPr>
        <w:tc>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Redis</w:t>
            </w:r>
          </w:p>
        </w:tc>
        <w:tc>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Estado compartido</w:t>
            </w:r>
          </w:p>
        </w:tc>
        <w:tc>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Datos de subastas, pujas atómicas (script Lua), historial, TTL de cierre y Pub/Sub para tiempo real.</w:t>
            </w:r>
          </w:p>
        </w:tc>
      </w:tr>
    </w:tbl>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En la nube (Railway) se despliega la misma aplicación con una instancia de cada servicio, bajando las imágenes ya publicadas en Docker Hub — sin construir el código en el proveedor cloud, tal como exige la consigna.</w:t>
      </w:r>
    </w:p>
    <w:p w:rsidR="00000000" w:rsidDel="00000000" w:rsidP="00000000" w:rsidRDefault="00000000" w:rsidRPr="00000000" w14:paraId="00000028">
      <w:pPr>
        <w:pStyle w:val="Heading2"/>
        <w:rPr>
          <w:rFonts w:ascii="Arial" w:cs="Arial" w:eastAsia="Arial" w:hAnsi="Arial"/>
        </w:rPr>
      </w:pPr>
      <w:r w:rsidDel="00000000" w:rsidR="00000000" w:rsidRPr="00000000">
        <w:rPr>
          <w:rFonts w:ascii="Arial" w:cs="Arial" w:eastAsia="Arial" w:hAnsi="Arial"/>
          <w:rtl w:val="0"/>
        </w:rPr>
        <w:t xml:space="preserve">2.2 Funcionalidades cubiertas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Crear, listar y ver el detalle de subastas, con su historial de pujas.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Pujar con actualización atómica del monto:</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comparación y escritura ocurren en un único paso indivisible mediante un script Lua ejecutado en Redis, evitando que dos pujas simultáneas por el mismo monto ganen ambas.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Una versión "ingenua" de la puja (sin atomicidad) queda expuesta a propósito, para poder demostrar en vivo el problema que se resolvió.</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Cierre automático de la subasta al vencer el tiempo, mediante TTL y notificaciones de vencimiento de claves de Redis (keyspace events), determinando el ganador sin intervención manual.</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Actualizaciones en tiempo real (WebSocket) de nuevas pujas y del cierre de la subasta, propagadas entre las 3 réplicas de la API con un adaptador de Redis para Socket.IO.</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Identificación simple de usuario (solo nombre, sin contraseña), fuera del alcance de autenticación real definido para este TP.</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2.3 Pipeline de integración y despliegue continuo</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Tests automáticos: 15 tests end-to-end (Vitest + Supertest) que cubren health check, CRUD de subastas, pujas (éxito, superada, validaciones), concurrencia y cierre automático.</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Análisis estático de seguridad (SAST) con Semgrep en cada push.</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Publicación automática de las imágenes de "web" y "api" en Docker Hub tras pasar los tests y el análisis de seguridad.</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Dos badges en el README que reflejan el estado de ambos workflows.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Despliegue verificado en Railway, bajando las imágenes publicadas.</w:t>
      </w:r>
    </w:p>
    <w:p w:rsidR="00000000" w:rsidDel="00000000" w:rsidP="00000000" w:rsidRDefault="00000000" w:rsidRPr="00000000" w14:paraId="00000035">
      <w:pPr>
        <w:pStyle w:val="Heading2"/>
        <w:rPr>
          <w:rFonts w:ascii="Arial" w:cs="Arial" w:eastAsia="Arial" w:hAnsi="Arial"/>
        </w:rPr>
      </w:pPr>
      <w:r w:rsidDel="00000000" w:rsidR="00000000" w:rsidRPr="00000000">
        <w:rPr>
          <w:rFonts w:ascii="Arial" w:cs="Arial" w:eastAsia="Arial" w:hAnsi="Arial"/>
          <w:rtl w:val="0"/>
        </w:rPr>
        <w:t xml:space="preserve">2.4 Cumplimiento de la rúbrica</w:t>
      </w:r>
    </w:p>
    <w:tbl>
      <w:tblPr>
        <w:tblStyle w:val="Table2"/>
        <w:tblW w:w="8640.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f2937" w:val="cle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color w:val="ffffff"/>
                <w:rtl w:val="0"/>
              </w:rPr>
              <w:t xml:space="preserve">Ítem de la consigna</w:t>
            </w:r>
            <w:r w:rsidDel="00000000" w:rsidR="00000000" w:rsidRPr="00000000">
              <w:rPr>
                <w:rtl w:val="0"/>
              </w:rPr>
            </w:r>
          </w:p>
        </w:tc>
        <w:tc>
          <w:tcPr>
            <w:shd w:fill="1f2937" w:val="cle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color w:val="ffffff"/>
                <w:rtl w:val="0"/>
              </w:rPr>
              <w:t xml:space="preserve">Puntos</w:t>
            </w:r>
            <w:r w:rsidDel="00000000" w:rsidR="00000000" w:rsidRPr="00000000">
              <w:rPr>
                <w:rtl w:val="0"/>
              </w:rPr>
            </w:r>
          </w:p>
        </w:tc>
        <w:tc>
          <w:tcPr>
            <w:shd w:fill="1f2937" w:val="cle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color w:val="ffffff"/>
                <w:rtl w:val="0"/>
              </w:rPr>
              <w:t xml:space="preserve">Estado</w:t>
            </w:r>
            <w:r w:rsidDel="00000000" w:rsidR="00000000" w:rsidRPr="00000000">
              <w:rPr>
                <w:rtl w:val="0"/>
              </w:rPr>
            </w:r>
          </w:p>
        </w:tc>
      </w:tr>
      <w:tr>
        <w:trPr>
          <w:cantSplit w:val="0"/>
          <w:tblHeader w:val="0"/>
        </w:trPr>
        <w:tc>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Apps funcionando (local o nube)</w:t>
            </w:r>
          </w:p>
        </w:tc>
        <w:tc>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30</w:t>
            </w:r>
          </w:p>
        </w:tc>
        <w:tc>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Cumplido</w:t>
            </w:r>
          </w:p>
        </w:tc>
      </w:tr>
      <w:tr>
        <w:trPr>
          <w:cantSplit w:val="0"/>
          <w:tblHeader w:val="0"/>
        </w:trPr>
        <w:tc>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Visualización de variables en Redis</w:t>
            </w:r>
          </w:p>
        </w:tc>
        <w:tc>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Cumplido</w:t>
            </w:r>
          </w:p>
        </w:tc>
      </w:tr>
      <w:tr>
        <w:trPr>
          <w:cantSplit w:val="0"/>
          <w:tblHeader w:val="0"/>
        </w:trPr>
        <w:tc>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GitHub Actions publicando en registry</w:t>
            </w:r>
          </w:p>
        </w:tc>
        <w:tc>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Cumplido</w:t>
            </w:r>
          </w:p>
        </w:tc>
      </w:tr>
      <w:tr>
        <w:trPr>
          <w:cantSplit w:val="0"/>
          <w:tblHeader w:val="0"/>
        </w:trPr>
        <w:tc>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CI con tests y SAST (con badges)</w:t>
            </w:r>
          </w:p>
        </w:tc>
        <w:tc>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Cumplido</w:t>
            </w:r>
          </w:p>
        </w:tc>
      </w:tr>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App funcionando en servicio externo</w:t>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Cumplido</w:t>
            </w:r>
          </w:p>
        </w:tc>
      </w:tr>
      <w:tr>
        <w:trPr>
          <w:cantSplit w:val="0"/>
          <w:tblHeader w:val="0"/>
        </w:trPr>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Coloquio (individual)</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 cargo de cada integrante</w:t>
            </w:r>
          </w:p>
        </w:tc>
      </w:tr>
    </w:tbl>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1"/>
        <w:rPr>
          <w:rFonts w:ascii="Arial" w:cs="Arial" w:eastAsia="Arial" w:hAnsi="Arial"/>
        </w:rPr>
      </w:pPr>
      <w:r w:rsidDel="00000000" w:rsidR="00000000" w:rsidRPr="00000000">
        <w:rPr>
          <w:rFonts w:ascii="Arial" w:cs="Arial" w:eastAsia="Arial" w:hAnsi="Arial"/>
          <w:rtl w:val="0"/>
        </w:rPr>
        <w:t xml:space="preserve">3. Dificultades encontradas</w:t>
      </w:r>
    </w:p>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rtl w:val="0"/>
        </w:rPr>
        <w:t xml:space="preserve">Durante el desarrollo surgieron varios problemas concretos, la mayoría relacionados con comportamientos poco intuitivos de redes en contenedores y de la infraestructura en la nube. Se documentan acá porque encontrarlos y resolverlos fue una parte central del aprendizaje del trabajo.</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Healthcheck fallaba dentro del contenedor:</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chequeo de salud usaba "localhost", que dentro del contenedor resuelve primero a la dirección IPv6 "::1", mientras que el servidor de la API solo escuchaba en IPv4. Docker marcaba el contenedor como no saludable y Traefik dejaba de enrutarle tráfico. Se resolvió usando "127.0.0.1" de forma explícita.</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Listar subastas sin usar el comando KEYS de Redis: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escanear todo el espacio de claves es una práctica desaconsejada en producción. Se optó por mantener un índice (un "set" de Redis) con los IDs de todas las subastas.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pipeline de CI corría, pero no ejecutaba los tests reales: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configuración de test unitarios solo tomaba archivos con un patrón de nombre distinto al de los tests end-to-end existentes, por lo que estos últimos —incluido el de concurrencia— nunca se ejecutaban automáticamente. Se corrigió el workflow para correr también la suite end-to-end, agregando un servicio de Redis al job de CI.</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Despliegue en la nube: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servicio web devolvía "Application failed to respond". La causa fue que el puerto de destino configurado en el proveedor cloud no coincidía con el puerto real en el que escuchaba el servidor web dentro del contenedor.</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proxy interno (nginx) no arrancaba en la nube por un error de resolución de DNS: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configuración usaba una dirección de DNS interna de Docker Compose que no existe fuera de ese entorno. Se resolvió utilizando una funcionalidad de la propia imagen oficial de nginx que detecta automáticamente el resolver DNS correcto del entorno en el que se ejecuta.</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Aun con el DNS resuelto, la conexión desde el contenedor de la web hacia el dominio público de la propia API, dentro de la misma nube, era rechazada ("hairpin"/loopback bloqueado por la plataforma). Se resolvió utilizando la red privada interna del proveedor cloud en lugar de la URL pública para la comunicación entre servicios.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pantalla no se actualizaba sola tras una puja o un cierre: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cliente de WebSocket intentaba suscribirse al canal de la subasta en un momento en el que la conexión todavía no se había establecido, y no reintentaba luego. Se corrigió repitiendo la suscripción cada vez que la conexión se establece (o se restablece).</w:t>
      </w:r>
    </w:p>
    <w:p w:rsidR="00000000" w:rsidDel="00000000" w:rsidP="00000000" w:rsidRDefault="00000000" w:rsidRPr="00000000" w14:paraId="00000055">
      <w:pPr>
        <w:pStyle w:val="Heading1"/>
        <w:rPr>
          <w:rFonts w:ascii="Arial" w:cs="Arial" w:eastAsia="Arial" w:hAnsi="Arial"/>
        </w:rPr>
      </w:pPr>
      <w:r w:rsidDel="00000000" w:rsidR="00000000" w:rsidRPr="00000000">
        <w:rPr>
          <w:rFonts w:ascii="Arial" w:cs="Arial" w:eastAsia="Arial" w:hAnsi="Arial"/>
          <w:rtl w:val="0"/>
        </w:rPr>
        <w:t xml:space="preserve">4. Posibles mejoras futuras</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Sumar tests unitarios aislados (con dependencias simuladas) para los repositorios, complementando los tests end-to-end actuales que corren contra una instancia real de Redis.</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Replicar también la API en el entorno de nube, actualmente una mejora opcional según la consigna, no un requisito.</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Agregar un panel de administración para gestionar subastas (cancelar, editar) sin pasar por la base de datos directamente.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Evaluar autenticación real de usuarios si el alcance del proyecto creciera más allá de un trabajo práctico académico.</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Incorporar observabilidad (métricas y logs centralizados) para monitorear las 3 réplicas de la API en producción.</w:t>
      </w:r>
    </w:p>
    <w:p w:rsidR="00000000" w:rsidDel="00000000" w:rsidP="00000000" w:rsidRDefault="00000000" w:rsidRPr="00000000" w14:paraId="0000005B">
      <w:pPr>
        <w:pStyle w:val="Heading1"/>
        <w:rPr>
          <w:rFonts w:ascii="Arial" w:cs="Arial" w:eastAsia="Arial" w:hAnsi="Arial"/>
        </w:rPr>
      </w:pPr>
      <w:r w:rsidDel="00000000" w:rsidR="00000000" w:rsidRPr="00000000">
        <w:rPr>
          <w:rFonts w:ascii="Arial" w:cs="Arial" w:eastAsia="Arial" w:hAnsi="Arial"/>
          <w:rtl w:val="0"/>
        </w:rPr>
        <w:t xml:space="preserve">5. Conclusión</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El proyecto cumple con la totalidad de los requerimientos técnicos de la consigna: aplicación web y API contenerizadas por separado, conexión exclusiva de la API a Redis, publicación automática de imágenes en un registry mediante GitHub Actions, integración continua con tests y análisis de seguridad, despliegue en un servicio en la nube desde ese registry, y un proxy reverso con 3 réplicas demostrando balanceo y tolerancia a la caída de una instancia en el entorno local. Las dificultades encontradas en el camino —principalmente vinculadas a redes dentro de contenedores y a particularidades de la infraestructura en la nube— permitieron profundizar la comprensión práctica de estos conceptos más allá de la teoría.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2937"/>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2937"/>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2937"/>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