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BUSCAMINAS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Conclusiones: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Una práctica muy interesante, a pesar de seguir en la línea de hacer juegos, ha sido toda una sorpresa. Revelador el hecho de ir dandote cuenta de las multiples capas de dificultad que incorporaba esta práctica, después de que al echar el primer vistazo pareciera una cosa bastante sencilla.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 agradecer que estos conocimientos sean acomulativos, y haber tenido una buena preparación.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 ha parecido que ha habido un buen equilibrio de conceptos, teniendo que implementar muchos que ya conociamos, y muchos otros recien aprendidos, incluso algunos que ibamos aprendiendo sobre la marcha al final del todo como la validación de formularios.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Como siempre me gusta decir, cuanto más completas sean las prácticas, y más conocimientos nos obliguen a implementar, mejor para nuestro desarrollo y nuestro currículum formativo, ya que nos acercan cada vez más a proyectos que nos darán en toda la cara en el mundo laboral.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Agradecer sobre todo que se pongan prácticas difíciles, que te hagan comerte el coco. Ayuda a preparar una nueva generación de programadores demasiado tentados a tirar de IA para prácticamente cualquier cosa.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Gracias y un saludo.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