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linekey.X.type -- Customize the linekey type.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valid types are: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0-NA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1-Conference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2-Forward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3-Transfer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4-Hold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5-DND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7-Call Return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8-SMS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9-Directed Pickup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10-Call Park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11-DTMF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12-Voice Mail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13-Speed Dial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14-Intercom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15-Line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16-BLF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17-URL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18-Group Listening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20-Private Hold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22-XML Group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23-Group Pickup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24-Multicast Paging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25-Record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27-XML Browser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34-Hot Desking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35-URL Record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38-LDAP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39-BLF List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40-Prefix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41-Zero Touch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42-ACD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45-Local Group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46-Network Group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49-Custom Button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50-Keypad Lock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55-Meet-Me Conference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56-Retrieve Park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57-Hoteling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58-ACD Grace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59-Sisp Code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60-Emergency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61-Directory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