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vertAnchor="text" w:horzAnchor="margin" w:tblpXSpec="center" w:tblpY="1119"/>
        <w:tblW w:w="10456" w:type="dxa"/>
        <w:tblLayout w:type="fixed"/>
        <w:tblLook w:val="04A0" w:firstRow="1" w:lastRow="0" w:firstColumn="1" w:lastColumn="0" w:noHBand="0" w:noVBand="1"/>
      </w:tblPr>
      <w:tblGrid>
        <w:gridCol w:w="2093"/>
        <w:gridCol w:w="8363"/>
      </w:tblGrid>
      <w:tr w:rsidR="001C09A7" w:rsidTr="004D5D8D">
        <w:trPr>
          <w:trHeight w:val="7220"/>
        </w:trPr>
        <w:tc>
          <w:tcPr>
            <w:tcW w:w="10456" w:type="dxa"/>
            <w:gridSpan w:val="2"/>
          </w:tcPr>
          <w:p w:rsidR="001C09A7" w:rsidRDefault="002F5873" w:rsidP="004D5D8D">
            <w:pPr>
              <w:jc w:val="center"/>
            </w:pPr>
            <w:r>
              <w:rPr>
                <w:noProof/>
              </w:rPr>
              <w:drawing>
                <wp:inline distT="0" distB="0" distL="0" distR="0">
                  <wp:extent cx="6502400" cy="4502150"/>
                  <wp:effectExtent l="0" t="0" r="0" b="6350"/>
                  <wp:docPr id="1" name="Image 1" descr="Une image contenant intérieur, bleu, chais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bleu, chaise,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502400" cy="4502150"/>
                          </a:xfrm>
                          <a:prstGeom prst="rect">
                            <a:avLst/>
                          </a:prstGeom>
                        </pic:spPr>
                      </pic:pic>
                    </a:graphicData>
                  </a:graphic>
                </wp:inline>
              </w:drawing>
            </w:r>
          </w:p>
        </w:tc>
      </w:tr>
      <w:tr w:rsidR="001C09A7" w:rsidTr="004D5D8D">
        <w:tc>
          <w:tcPr>
            <w:tcW w:w="10456" w:type="dxa"/>
            <w:gridSpan w:val="2"/>
          </w:tcPr>
          <w:p w:rsidR="001C09A7" w:rsidRDefault="00B129F1" w:rsidP="004D5D8D">
            <w:pPr>
              <w:jc w:val="center"/>
              <w:rPr>
                <w:b/>
                <w:sz w:val="36"/>
                <w:szCs w:val="36"/>
              </w:rPr>
            </w:pPr>
            <w:r>
              <w:rPr>
                <w:b/>
                <w:sz w:val="36"/>
                <w:szCs w:val="36"/>
              </w:rPr>
              <w:t>UE</w:t>
            </w:r>
            <w:r w:rsidR="00966AE8">
              <w:rPr>
                <w:b/>
                <w:sz w:val="36"/>
                <w:szCs w:val="36"/>
              </w:rPr>
              <w:t xml:space="preserve"> </w:t>
            </w:r>
            <w:r w:rsidR="00D45635">
              <w:rPr>
                <w:b/>
                <w:sz w:val="36"/>
                <w:szCs w:val="36"/>
              </w:rPr>
              <w:t>6.1</w:t>
            </w:r>
            <w:r w:rsidR="001C09A7">
              <w:rPr>
                <w:b/>
                <w:sz w:val="36"/>
                <w:szCs w:val="36"/>
              </w:rPr>
              <w:t> </w:t>
            </w:r>
            <w:r w:rsidR="00D45635">
              <w:rPr>
                <w:b/>
                <w:sz w:val="36"/>
                <w:szCs w:val="36"/>
              </w:rPr>
              <w:t>– Compte-rendu d’entretien</w:t>
            </w:r>
          </w:p>
          <w:p w:rsidR="001C09A7" w:rsidRPr="00801E17" w:rsidRDefault="00B129F1" w:rsidP="004D5D8D">
            <w:pPr>
              <w:jc w:val="center"/>
              <w:rPr>
                <w:b/>
                <w:sz w:val="36"/>
                <w:szCs w:val="36"/>
              </w:rPr>
            </w:pPr>
            <w:r>
              <w:rPr>
                <w:b/>
                <w:sz w:val="36"/>
                <w:szCs w:val="36"/>
              </w:rPr>
              <w:t>FISE</w:t>
            </w:r>
            <w:r w:rsidR="005C2C14">
              <w:rPr>
                <w:b/>
                <w:sz w:val="36"/>
                <w:szCs w:val="36"/>
              </w:rPr>
              <w:t xml:space="preserve"> - 20</w:t>
            </w:r>
            <w:r>
              <w:rPr>
                <w:b/>
                <w:sz w:val="36"/>
                <w:szCs w:val="36"/>
              </w:rPr>
              <w:t>21</w:t>
            </w:r>
          </w:p>
        </w:tc>
      </w:tr>
      <w:tr w:rsidR="002121ED" w:rsidRPr="00BB2D1B" w:rsidTr="004D5D8D">
        <w:trPr>
          <w:trHeight w:val="1803"/>
        </w:trPr>
        <w:tc>
          <w:tcPr>
            <w:tcW w:w="2093" w:type="dxa"/>
            <w:vAlign w:val="center"/>
          </w:tcPr>
          <w:p w:rsidR="002121ED" w:rsidRDefault="002121ED" w:rsidP="004D5D8D">
            <w:pPr>
              <w:ind w:left="-142"/>
              <w:jc w:val="center"/>
            </w:pPr>
            <w:r>
              <w:rPr>
                <w:noProof/>
                <w:lang w:eastAsia="fr-FR"/>
              </w:rPr>
              <w:drawing>
                <wp:inline distT="0" distB="0" distL="0" distR="0" wp14:anchorId="0BD08A91" wp14:editId="5A60A162">
                  <wp:extent cx="1297686" cy="1559739"/>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1315" r="12139"/>
                          <a:stretch>
                            <a:fillRect/>
                          </a:stretch>
                        </pic:blipFill>
                        <pic:spPr bwMode="auto">
                          <a:xfrm>
                            <a:off x="0" y="0"/>
                            <a:ext cx="1301160" cy="1563914"/>
                          </a:xfrm>
                          <a:prstGeom prst="rect">
                            <a:avLst/>
                          </a:prstGeom>
                          <a:noFill/>
                        </pic:spPr>
                      </pic:pic>
                    </a:graphicData>
                  </a:graphic>
                </wp:inline>
              </w:drawing>
            </w:r>
          </w:p>
        </w:tc>
        <w:tc>
          <w:tcPr>
            <w:tcW w:w="8363" w:type="dxa"/>
            <w:vAlign w:val="center"/>
          </w:tcPr>
          <w:p w:rsidR="002121ED" w:rsidRDefault="002121ED" w:rsidP="004D5D8D">
            <w:r>
              <w:t>ENSTA Bretagne</w:t>
            </w:r>
          </w:p>
          <w:p w:rsidR="002121ED" w:rsidRDefault="002121ED" w:rsidP="004D5D8D">
            <w:r>
              <w:t>2 rue F. Verny</w:t>
            </w:r>
          </w:p>
          <w:p w:rsidR="002121ED" w:rsidRDefault="002121ED" w:rsidP="004D5D8D">
            <w:r>
              <w:t>29806 Brest Cedex 9, France</w:t>
            </w:r>
          </w:p>
          <w:p w:rsidR="002121ED" w:rsidRDefault="002121ED" w:rsidP="004D5D8D"/>
          <w:p w:rsidR="00BB2D1B" w:rsidRPr="00BB2D1B" w:rsidRDefault="00BB2D1B" w:rsidP="004D5D8D">
            <w:r w:rsidRPr="00BB2D1B">
              <w:t>Ingénieur des Études et Techniques de l’Armement</w:t>
            </w:r>
          </w:p>
          <w:p w:rsidR="00E91AAC" w:rsidRDefault="002121ED" w:rsidP="004D5D8D">
            <w:pPr>
              <w:rPr>
                <w:rStyle w:val="Lienhypertexte"/>
              </w:rPr>
            </w:pPr>
            <w:r w:rsidRPr="00BB2D1B">
              <w:rPr>
                <w:lang w:val="en-US"/>
              </w:rPr>
              <w:t xml:space="preserve">BARRET Maxime, </w:t>
            </w:r>
            <w:hyperlink r:id="rId10" w:history="1">
              <w:r w:rsidR="00E91AAC" w:rsidRPr="00BB2D1B">
                <w:rPr>
                  <w:rStyle w:val="Lienhypertexte"/>
                  <w:lang w:val="en-US"/>
                </w:rPr>
                <w:t>maxime.barret@ensta-bretagne.org</w:t>
              </w:r>
            </w:hyperlink>
          </w:p>
          <w:p w:rsidR="00BB2D1B" w:rsidRDefault="00BB2D1B" w:rsidP="004D5D8D">
            <w:pPr>
              <w:rPr>
                <w:rStyle w:val="Lienhypertexte"/>
              </w:rPr>
            </w:pPr>
          </w:p>
          <w:p w:rsidR="00BB2D1B" w:rsidRPr="00BB2D1B" w:rsidRDefault="00BB2D1B" w:rsidP="004D5D8D">
            <w:pPr>
              <w:rPr>
                <w:lang w:val="en-US"/>
              </w:rPr>
            </w:pPr>
            <w:r>
              <w:rPr>
                <w:rStyle w:val="Lienhypertexte"/>
              </w:rPr>
              <w:t>06 33 33 82 26</w:t>
            </w:r>
          </w:p>
        </w:tc>
      </w:tr>
    </w:tbl>
    <w:p w:rsidR="007025C6" w:rsidRPr="00BB2D1B" w:rsidRDefault="007025C6" w:rsidP="007025C6">
      <w:pPr>
        <w:rPr>
          <w:lang w:val="en-US"/>
        </w:rPr>
      </w:pPr>
    </w:p>
    <w:p w:rsidR="00D45635" w:rsidRDefault="007025C6" w:rsidP="00D45635">
      <w:pPr>
        <w:pStyle w:val="Titre1"/>
      </w:pPr>
      <w:r w:rsidRPr="00BB2D1B">
        <w:rPr>
          <w:lang w:val="en-US"/>
        </w:rPr>
        <w:br w:type="page"/>
      </w:r>
      <w:r w:rsidR="00D45635">
        <w:lastRenderedPageBreak/>
        <w:t xml:space="preserve">Introduction </w:t>
      </w:r>
    </w:p>
    <w:p w:rsidR="00D45635" w:rsidRDefault="00D45635" w:rsidP="00D45635"/>
    <w:p w:rsidR="0058618C" w:rsidRDefault="00D45635" w:rsidP="00D45635">
      <w:r>
        <w:t>Dans le cadre du projet 6.1, préparant au Projet de Fin d’Études, j’ai choisi le projet PARCISER. Plus précis</w:t>
      </w:r>
      <w:r w:rsidR="00A26A0F">
        <w:t>é</w:t>
      </w:r>
      <w:r>
        <w:t xml:space="preserve">ment, le sujet </w:t>
      </w:r>
      <w:r>
        <w:rPr>
          <w:i/>
          <w:iCs/>
        </w:rPr>
        <w:t>Approche parcimonieuse pour la représentation 2D de la SER</w:t>
      </w:r>
      <w:r>
        <w:t xml:space="preserve"> a attiré mon attention par rapport à l’aspect SER et RADAR : en effet, ces notions concordent avec </w:t>
      </w:r>
      <w:r w:rsidR="00A26A0F">
        <w:t xml:space="preserve">mon projet professionnel et les domaines d’expertise de la DGA. De plus, suite aux cours de représentations parcimonieuses dispensés par Charles </w:t>
      </w:r>
      <w:proofErr w:type="spellStart"/>
      <w:r w:rsidR="00A26A0F">
        <w:t>Vanwynsberghe</w:t>
      </w:r>
      <w:proofErr w:type="spellEnd"/>
      <w:r w:rsidR="00A26A0F">
        <w:t xml:space="preserve"> et Angélique </w:t>
      </w:r>
      <w:proofErr w:type="spellStart"/>
      <w:r w:rsidR="00A26A0F">
        <w:t>Drémeau</w:t>
      </w:r>
      <w:proofErr w:type="spellEnd"/>
      <w:r w:rsidR="00A26A0F">
        <w:t>, j’ai été initié à la parcimonie, et ai pu manipuler les notions sur des supports semblables à ceux demandés par le sujet.</w:t>
      </w:r>
    </w:p>
    <w:p w:rsidR="008215CC" w:rsidRDefault="008215CC" w:rsidP="00D45635"/>
    <w:p w:rsidR="008215CC" w:rsidRDefault="008215CC" w:rsidP="00D45635">
      <w:r>
        <w:t xml:space="preserve">Le Dr. </w:t>
      </w:r>
      <w:proofErr w:type="spellStart"/>
      <w:r>
        <w:t>Comblet</w:t>
      </w:r>
      <w:proofErr w:type="spellEnd"/>
      <w:r>
        <w:t xml:space="preserve"> va superviser ce sujet. </w:t>
      </w:r>
      <w:r w:rsidR="00DE5869">
        <w:t>Afin d’en apprendre plus, j’ai pris rendez-vous avec ce dernier pour savoir quelles sont ses attentes. Le mercredi 21 Octobre, j’ai donc eu une introduction aux diverses notions qui seront utilisées, mais aussi une visite des moyens matériels dont dispose l’ENSTA Bretagne.</w:t>
      </w:r>
    </w:p>
    <w:p w:rsidR="0011715B" w:rsidRPr="0011715B" w:rsidRDefault="0011715B" w:rsidP="0011715B">
      <w:pPr>
        <w:pStyle w:val="Titre1"/>
        <w:numPr>
          <w:ilvl w:val="0"/>
          <w:numId w:val="21"/>
        </w:numPr>
      </w:pPr>
      <w:r>
        <w:t>Objectifs</w:t>
      </w:r>
    </w:p>
    <w:p w:rsidR="0011715B" w:rsidRDefault="0011715B" w:rsidP="0011715B"/>
    <w:p w:rsidR="0011715B" w:rsidRDefault="0011715B" w:rsidP="0011715B">
      <w:r>
        <w:t>Les objectifs de ce projet sont, dans un premier temps de se familiariser avec les différentes notions auxquelles je serai confronté.</w:t>
      </w:r>
    </w:p>
    <w:p w:rsidR="0011715B" w:rsidRDefault="00DF12D7" w:rsidP="0011715B">
      <w:pPr>
        <w:pStyle w:val="Titre2"/>
        <w:numPr>
          <w:ilvl w:val="0"/>
          <w:numId w:val="25"/>
        </w:numPr>
      </w:pPr>
      <w:r>
        <w:t>SER</w:t>
      </w:r>
    </w:p>
    <w:p w:rsidR="00DF12D7" w:rsidRDefault="00DF12D7" w:rsidP="00DF12D7"/>
    <w:p w:rsidR="00C200E9" w:rsidRDefault="00DF12D7" w:rsidP="00DF12D7">
      <w:pPr>
        <w:rPr>
          <w:rFonts w:eastAsiaTheme="minorEastAsia"/>
        </w:rPr>
      </w:pPr>
      <w:r>
        <w:t xml:space="preserve">La Surface Équivalente RADAR est une propriété physique d’un objet illuminé par une onde électromagnétique. Cette mesure s’exprime en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et dépend de beaucoup de paramètres : la forme de l’objet, les matériaux dont il est constitué, les caractéristiques physiques de l’onde </w:t>
      </w:r>
      <w:r w:rsidR="008A3E73">
        <w:rPr>
          <w:rFonts w:eastAsiaTheme="minorEastAsia"/>
        </w:rPr>
        <w:t>éclairant</w:t>
      </w:r>
      <w:r>
        <w:rPr>
          <w:rFonts w:eastAsiaTheme="minorEastAsia"/>
        </w:rPr>
        <w:t xml:space="preserve"> l’objet</w:t>
      </w:r>
      <w:r w:rsidR="004C4E82">
        <w:rPr>
          <w:rFonts w:eastAsiaTheme="minorEastAsia"/>
        </w:rPr>
        <w:t xml:space="preserve"> (polarisation, angle d’incidence, longueur d’onde, …</w:t>
      </w:r>
      <w:r w:rsidR="00293DE8">
        <w:rPr>
          <w:rFonts w:eastAsiaTheme="minorEastAsia"/>
        </w:rPr>
        <w:t>)</w:t>
      </w:r>
      <w:r>
        <w:rPr>
          <w:rFonts w:eastAsiaTheme="minorEastAsia"/>
        </w:rPr>
        <w:t xml:space="preserve">. </w:t>
      </w:r>
    </w:p>
    <w:p w:rsidR="00DF12D7" w:rsidRDefault="00DF12D7" w:rsidP="00DF12D7">
      <w:pPr>
        <w:rPr>
          <w:rFonts w:eastAsiaTheme="minorEastAsia"/>
        </w:rPr>
      </w:pPr>
      <w:r>
        <w:rPr>
          <w:rFonts w:eastAsiaTheme="minorEastAsia"/>
        </w:rPr>
        <w:t>Cette grandeur</w:t>
      </w:r>
      <w:r w:rsidR="00063DCD">
        <w:rPr>
          <w:rFonts w:eastAsiaTheme="minorEastAsia"/>
        </w:rPr>
        <w:t xml:space="preserve"> </w:t>
      </w:r>
      <m:oMath>
        <m:r>
          <w:rPr>
            <w:rFonts w:ascii="Cambria Math" w:eastAsiaTheme="minorEastAsia" w:hAnsi="Cambria Math"/>
          </w:rPr>
          <m:t>σ</m:t>
        </m:r>
      </m:oMath>
      <w:r w:rsidR="00063DCD">
        <w:rPr>
          <w:rFonts w:eastAsiaTheme="minorEastAsia"/>
        </w:rPr>
        <w:t xml:space="preserve"> </w:t>
      </w:r>
      <w:r>
        <w:rPr>
          <w:rFonts w:eastAsiaTheme="minorEastAsia"/>
        </w:rPr>
        <w:t>intervient directement dans l’</w:t>
      </w:r>
      <w:r>
        <w:rPr>
          <w:rFonts w:eastAsiaTheme="minorEastAsia"/>
          <w:i/>
          <w:iCs/>
        </w:rPr>
        <w:t>équation du RADAR,</w:t>
      </w:r>
      <w:r>
        <w:rPr>
          <w:rFonts w:eastAsiaTheme="minorEastAsia"/>
        </w:rPr>
        <w:t xml:space="preserve"> liant la puissance d’un écho reçu à la puissance émise par le RADAR.</w:t>
      </w:r>
      <w:r w:rsidR="008A3E73">
        <w:rPr>
          <w:rFonts w:eastAsiaTheme="minorEastAsia"/>
        </w:rPr>
        <w:t xml:space="preserve"> Dans le cas général</w:t>
      </w:r>
      <w:r w:rsidR="00063DCD">
        <w:rPr>
          <w:rFonts w:eastAsiaTheme="minorEastAsia"/>
        </w:rPr>
        <w:t xml:space="preserve"> et </w:t>
      </w:r>
      <w:proofErr w:type="spellStart"/>
      <w:r w:rsidR="00063DCD">
        <w:rPr>
          <w:rFonts w:eastAsiaTheme="minorEastAsia"/>
        </w:rPr>
        <w:t>bistatique</w:t>
      </w:r>
      <w:proofErr w:type="spellEnd"/>
      <w:r w:rsidR="00063DCD">
        <w:rPr>
          <w:rFonts w:eastAsiaTheme="minorEastAsia"/>
        </w:rPr>
        <w:t xml:space="preserve">, cette équation s’écrit : </w:t>
      </w:r>
    </w:p>
    <w:p w:rsidR="00063DCD" w:rsidRDefault="00063DCD" w:rsidP="00DF12D7">
      <w:pPr>
        <w:rPr>
          <w:rFonts w:eastAsiaTheme="minorEastAsia"/>
        </w:rPr>
      </w:pPr>
    </w:p>
    <w:p w:rsidR="00DF12D7" w:rsidRPr="00DF12D7" w:rsidRDefault="00FA07F6" w:rsidP="00DF12D7">
      <m:oMathPara>
        <m:oMathParaPr>
          <m:jc m:val="center"/>
        </m:oMathParaPr>
        <m:oMath>
          <m:sSub>
            <m:sSubPr>
              <m:ctrlPr>
                <w:rPr>
                  <w:rFonts w:ascii="Cambria Math" w:hAnsi="Cambria Math"/>
                  <w:bCs/>
                </w:rPr>
              </m:ctrlPr>
            </m:sSubPr>
            <m:e>
              <m:r>
                <m:rPr>
                  <m:sty m:val="p"/>
                </m:rPr>
                <w:rPr>
                  <w:rFonts w:ascii="Cambria Math" w:hAnsi="Cambria Math"/>
                </w:rPr>
                <m:t>P</m:t>
              </m:r>
            </m:e>
            <m:sub>
              <m:r>
                <m:rPr>
                  <m:sty m:val="p"/>
                </m:rPr>
                <w:rPr>
                  <w:rFonts w:ascii="Cambria Math" w:hAnsi="Cambria Math"/>
                </w:rPr>
                <m:t>r</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e</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 xml:space="preserve"> </m:t>
              </m:r>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den>
          </m:f>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σ</m:t>
          </m:r>
        </m:oMath>
      </m:oMathPara>
    </w:p>
    <w:p w:rsidR="00DF12D7" w:rsidRDefault="00DF12D7" w:rsidP="00DF12D7">
      <w:pPr>
        <w:ind w:left="9204"/>
        <w:rPr>
          <w:rFonts w:eastAsiaTheme="minorEastAsia"/>
        </w:rPr>
      </w:pPr>
      <w:r>
        <w:rPr>
          <w:rFonts w:eastAsiaTheme="minorEastAsia"/>
        </w:rPr>
        <w:t>Où</w:t>
      </w:r>
    </w:p>
    <w:p w:rsidR="00DF12D7" w:rsidRDefault="00FA07F6" w:rsidP="00DF12D7">
      <w:pPr>
        <w:pStyle w:val="Paragraphedeliste"/>
        <w:numPr>
          <w:ilvl w:val="0"/>
          <w:numId w:val="26"/>
        </w:numPr>
        <w:ind w:left="426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r</m:t>
            </m:r>
          </m:sub>
        </m:sSub>
      </m:oMath>
      <w:r w:rsidR="00DF12D7">
        <w:rPr>
          <w:rFonts w:eastAsiaTheme="minorEastAsia"/>
          <w:b/>
          <w:bCs/>
        </w:rPr>
        <w:t xml:space="preserve"> </w:t>
      </w:r>
      <w:r w:rsidR="00DF12D7" w:rsidRPr="009E1BC4">
        <w:rPr>
          <w:rFonts w:eastAsiaTheme="minorEastAsia"/>
        </w:rPr>
        <w:t xml:space="preserve">est le </w:t>
      </w:r>
      <w:r w:rsidR="008A3E73">
        <w:rPr>
          <w:rFonts w:eastAsiaTheme="minorEastAsia"/>
        </w:rPr>
        <w:t>la puissance reçue par le RADAR</w:t>
      </w:r>
    </w:p>
    <w:p w:rsidR="008A3E73" w:rsidRDefault="00FA07F6" w:rsidP="008A3E73">
      <w:pPr>
        <w:pStyle w:val="Paragraphedeliste"/>
        <w:numPr>
          <w:ilvl w:val="0"/>
          <w:numId w:val="26"/>
        </w:numPr>
        <w:ind w:left="426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e</m:t>
            </m:r>
          </m:sub>
        </m:sSub>
      </m:oMath>
      <w:r w:rsidR="008A3E73">
        <w:rPr>
          <w:rFonts w:eastAsiaTheme="minorEastAsia"/>
          <w:b/>
          <w:bCs/>
        </w:rPr>
        <w:t xml:space="preserve"> </w:t>
      </w:r>
      <w:r w:rsidR="008A3E73" w:rsidRPr="009E1BC4">
        <w:rPr>
          <w:rFonts w:eastAsiaTheme="minorEastAsia"/>
        </w:rPr>
        <w:t xml:space="preserve">est le </w:t>
      </w:r>
      <w:r w:rsidR="008A3E73">
        <w:rPr>
          <w:rFonts w:eastAsiaTheme="minorEastAsia"/>
        </w:rPr>
        <w:t>la puissance émise par le RADAR</w:t>
      </w:r>
    </w:p>
    <w:p w:rsidR="00DF12D7" w:rsidRDefault="00FA07F6" w:rsidP="00DF12D7">
      <w:pPr>
        <w:pStyle w:val="Paragraphedeliste"/>
        <w:numPr>
          <w:ilvl w:val="0"/>
          <w:numId w:val="26"/>
        </w:numPr>
        <w:ind w:left="4260"/>
        <w:rPr>
          <w:rFonts w:eastAsiaTheme="minorEastAsia"/>
          <w:bCs/>
        </w:rPr>
      </w:pPr>
      <m:oMath>
        <m:sSub>
          <m:sSubPr>
            <m:ctrlPr>
              <w:rPr>
                <w:rFonts w:ascii="Cambria Math" w:eastAsiaTheme="minorEastAsia" w:hAnsi="Cambria Math"/>
                <w:bCs/>
                <w:i/>
              </w:rPr>
            </m:ctrlPr>
          </m:sSubPr>
          <m:e>
            <m:r>
              <m:rPr>
                <m:sty m:val="p"/>
              </m:rPr>
              <w:rPr>
                <w:rFonts w:ascii="Cambria Math" w:hAnsi="Cambria Math"/>
              </w:rPr>
              <m:t>G</m:t>
            </m:r>
            <m:ctrlPr>
              <w:rPr>
                <w:rFonts w:ascii="Cambria Math" w:hAnsi="Cambria Math"/>
                <w:bCs/>
              </w:rPr>
            </m:ctrlPr>
          </m:e>
          <m:sub>
            <m:r>
              <w:rPr>
                <w:rFonts w:ascii="Cambria Math" w:eastAsiaTheme="minorEastAsia" w:hAnsi="Cambria Math"/>
              </w:rPr>
              <m:t>e</m:t>
            </m:r>
          </m:sub>
        </m:sSub>
      </m:oMath>
      <w:r w:rsidR="008A3E73">
        <w:rPr>
          <w:rFonts w:eastAsiaTheme="minorEastAsia"/>
          <w:bCs/>
        </w:rPr>
        <w:t xml:space="preserve"> et </w:t>
      </w:r>
      <m:oMath>
        <m:sSub>
          <m:sSubPr>
            <m:ctrlPr>
              <w:rPr>
                <w:rFonts w:ascii="Cambria Math" w:eastAsiaTheme="minorEastAsia" w:hAnsi="Cambria Math"/>
                <w:bCs/>
                <w:i/>
              </w:rPr>
            </m:ctrlPr>
          </m:sSubPr>
          <m:e>
            <m:r>
              <w:rPr>
                <w:rFonts w:ascii="Cambria Math" w:eastAsiaTheme="minorEastAsia" w:hAnsi="Cambria Math"/>
              </w:rPr>
              <m:t>G</m:t>
            </m:r>
          </m:e>
          <m:sub>
            <m:r>
              <w:rPr>
                <w:rFonts w:ascii="Cambria Math" w:eastAsiaTheme="minorEastAsia" w:hAnsi="Cambria Math"/>
              </w:rPr>
              <m:t>r</m:t>
            </m:r>
          </m:sub>
        </m:sSub>
      </m:oMath>
      <w:r w:rsidR="008A3E73">
        <w:rPr>
          <w:rFonts w:eastAsiaTheme="minorEastAsia"/>
          <w:bCs/>
        </w:rPr>
        <w:t xml:space="preserve"> sont les gains respectifs des antennes d’émission et de réception</w:t>
      </w:r>
    </w:p>
    <w:p w:rsidR="00063DCD" w:rsidRDefault="00063DCD" w:rsidP="00DF12D7">
      <w:pPr>
        <w:pStyle w:val="Paragraphedeliste"/>
        <w:numPr>
          <w:ilvl w:val="0"/>
          <w:numId w:val="26"/>
        </w:numPr>
        <w:ind w:left="4260"/>
        <w:rPr>
          <w:rFonts w:eastAsiaTheme="minorEastAsia"/>
          <w:bCs/>
        </w:rPr>
      </w:pPr>
      <m:oMath>
        <m:r>
          <w:rPr>
            <w:rFonts w:ascii="Cambria Math" w:eastAsiaTheme="minorEastAsia" w:hAnsi="Cambria Math"/>
          </w:rPr>
          <m:t>λ</m:t>
        </m:r>
      </m:oMath>
      <w:r>
        <w:rPr>
          <w:rFonts w:eastAsiaTheme="minorEastAsia"/>
          <w:bCs/>
        </w:rPr>
        <w:t xml:space="preserve"> est la longueur d’onde</w:t>
      </w:r>
    </w:p>
    <w:p w:rsidR="00DF12D7" w:rsidRPr="008A3E73" w:rsidRDefault="00FA07F6" w:rsidP="00DF12D7">
      <w:pPr>
        <w:pStyle w:val="Paragraphedeliste"/>
        <w:numPr>
          <w:ilvl w:val="0"/>
          <w:numId w:val="26"/>
        </w:numPr>
        <w:ind w:left="4260"/>
        <w:rPr>
          <w:rFonts w:eastAsiaTheme="minorEastAsia"/>
        </w:rPr>
      </w:pPr>
      <m:oMath>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1</m:t>
            </m:r>
          </m:sub>
        </m:sSub>
      </m:oMath>
      <w:r w:rsidR="008A3E73" w:rsidRPr="008A3E73">
        <w:rPr>
          <w:rFonts w:eastAsiaTheme="minorEastAsia"/>
          <w:bCs/>
        </w:rPr>
        <w:t>et</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2</m:t>
            </m:r>
          </m:sub>
        </m:sSub>
      </m:oMath>
      <w:r w:rsidR="008A3E73" w:rsidRPr="008A3E73">
        <w:rPr>
          <w:rFonts w:eastAsiaTheme="minorEastAsia"/>
          <w:bCs/>
        </w:rPr>
        <w:t xml:space="preserve"> sont</w:t>
      </w:r>
      <w:r w:rsidR="008A3E73">
        <w:rPr>
          <w:rFonts w:eastAsiaTheme="minorEastAsia"/>
          <w:bCs/>
        </w:rPr>
        <w:t xml:space="preserve"> l</w:t>
      </w:r>
      <w:r w:rsidR="008A3E73" w:rsidRPr="008A3E73">
        <w:rPr>
          <w:rFonts w:eastAsiaTheme="minorEastAsia"/>
          <w:bCs/>
        </w:rPr>
        <w:t xml:space="preserve">es distances </w:t>
      </w:r>
      <w:r w:rsidR="008A3E73">
        <w:rPr>
          <w:rFonts w:eastAsiaTheme="minorEastAsia"/>
          <w:bCs/>
        </w:rPr>
        <w:t>de l’objet éclairé aux deux RADAR.</w:t>
      </w:r>
    </w:p>
    <w:p w:rsidR="008A3E73" w:rsidRPr="008A3E73" w:rsidRDefault="00063DCD" w:rsidP="00DF12D7">
      <w:pPr>
        <w:pStyle w:val="Paragraphedeliste"/>
        <w:numPr>
          <w:ilvl w:val="0"/>
          <w:numId w:val="26"/>
        </w:numPr>
        <w:ind w:left="4260"/>
        <w:rPr>
          <w:rFonts w:eastAsiaTheme="minorEastAsia"/>
        </w:rPr>
      </w:pPr>
      <w:r>
        <w:rPr>
          <w:rFonts w:eastAsiaTheme="minorEastAsia"/>
        </w:rPr>
        <w:t>L est un terme de pertes</w:t>
      </w:r>
    </w:p>
    <w:p w:rsidR="001E6E18" w:rsidRDefault="001E6E18" w:rsidP="001E6E18">
      <w:pPr>
        <w:rPr>
          <w:rFonts w:eastAsiaTheme="minorEastAsia"/>
        </w:rPr>
      </w:pPr>
    </w:p>
    <w:p w:rsidR="00063DCD" w:rsidRPr="00063DCD" w:rsidRDefault="00063DCD" w:rsidP="001E6E18">
      <w:pPr>
        <w:rPr>
          <w:rFonts w:ascii="Cambria Math" w:eastAsiaTheme="minorEastAsia" w:hAnsi="Cambria Math"/>
          <w:oMath/>
        </w:rPr>
      </w:pPr>
      <w:r>
        <w:rPr>
          <w:rFonts w:eastAsiaTheme="minorEastAsia"/>
        </w:rPr>
        <w:t xml:space="preserve">Dans le cadre </w:t>
      </w:r>
      <w:proofErr w:type="spellStart"/>
      <w:r>
        <w:rPr>
          <w:rFonts w:eastAsiaTheme="minorEastAsia"/>
        </w:rPr>
        <w:t>monostatique</w:t>
      </w:r>
      <w:proofErr w:type="spellEnd"/>
      <w:r>
        <w:rPr>
          <w:rFonts w:eastAsiaTheme="minorEastAsia"/>
        </w:rPr>
        <w:t xml:space="preserve"> (un unique Radar émet l’impulsion et reçoit l’écho), on a : </w:t>
      </w:r>
    </w:p>
    <w:p w:rsidR="00063DCD" w:rsidRDefault="00FA07F6" w:rsidP="00063DCD">
      <w:pPr>
        <w:jc w:val="center"/>
        <w:rPr>
          <w:rFonts w:eastAsiaTheme="minorEastAsia"/>
        </w:rPr>
      </w:pPr>
      <m:oMath>
        <m:sSub>
          <m:sSubPr>
            <m:ctrlPr>
              <w:rPr>
                <w:rFonts w:ascii="Cambria Math" w:eastAsiaTheme="minorEastAsia" w:hAnsi="Cambria Math"/>
                <w:i/>
              </w:rPr>
            </m:ctrlPr>
          </m:sSubPr>
          <m:e>
            <m:r>
              <w:rPr>
                <w:rFonts w:ascii="Cambria Math" w:hAnsi="Cambria Math"/>
              </w:rPr>
              <m:t>G</m:t>
            </m:r>
            <m:ctrlPr>
              <w:rPr>
                <w:rFonts w:ascii="Cambria Math" w:hAnsi="Cambria Math"/>
                <w:i/>
              </w:rPr>
            </m:ctrlP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r>
          <w:rPr>
            <w:rFonts w:ascii="Cambria Math" w:eastAsiaTheme="minorEastAsia" w:hAnsi="Cambria Math"/>
          </w:rPr>
          <m:t xml:space="preserve"> </m:t>
        </m:r>
      </m:oMath>
      <w:r w:rsidR="00063DCD">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p>
    <w:p w:rsidR="00063DCD" w:rsidRDefault="00063DCD" w:rsidP="00063DCD">
      <w:pPr>
        <w:jc w:val="left"/>
        <w:rPr>
          <w:rFonts w:eastAsiaTheme="minorEastAsia"/>
        </w:rPr>
      </w:pPr>
      <w:r>
        <w:rPr>
          <w:rFonts w:eastAsiaTheme="minorEastAsia"/>
        </w:rPr>
        <w:t xml:space="preserve">En ayant la main sur le gain, à la longueur d’onde, la distance, et en maitrisant l’environnement du canal de transmission (limitant ainsi le terme de pertes), nous pouvons mesurer la SER d’un objet. </w:t>
      </w:r>
    </w:p>
    <w:p w:rsidR="00C200E9" w:rsidRDefault="00C200E9" w:rsidP="00063DCD">
      <w:pPr>
        <w:jc w:val="left"/>
        <w:rPr>
          <w:rFonts w:eastAsiaTheme="minorEastAsia"/>
        </w:rPr>
      </w:pPr>
    </w:p>
    <w:p w:rsidR="00063DCD" w:rsidRDefault="00C200E9" w:rsidP="00063DCD">
      <w:pPr>
        <w:jc w:val="left"/>
        <w:rPr>
          <w:rFonts w:eastAsiaTheme="minorEastAsia"/>
        </w:rPr>
      </w:pPr>
      <w:r>
        <w:rPr>
          <w:rFonts w:eastAsiaTheme="minorEastAsia"/>
        </w:rPr>
        <w:lastRenderedPageBreak/>
        <w:t xml:space="preserve">Plus la SER d’un objet est grande, plus détectable il sera. Ça peut être une bonne chose, par exemple pour un avion de ligne ou un voilier en pleine mer, tout comme cela peut être un désavantage pour un système furtif. </w:t>
      </w:r>
    </w:p>
    <w:p w:rsidR="00C200E9" w:rsidRDefault="00C200E9" w:rsidP="00063DCD">
      <w:pPr>
        <w:jc w:val="left"/>
        <w:rPr>
          <w:rFonts w:eastAsiaTheme="minorEastAsia"/>
        </w:rPr>
      </w:pPr>
      <w:r>
        <w:rPr>
          <w:rFonts w:eastAsiaTheme="minorEastAsia"/>
        </w:rPr>
        <w:t xml:space="preserve">Dans le premier cas, on pourra par exemple utiliser des lentilles de </w:t>
      </w:r>
      <w:proofErr w:type="spellStart"/>
      <w:r>
        <w:rPr>
          <w:rFonts w:eastAsiaTheme="minorEastAsia"/>
        </w:rPr>
        <w:t>Lüneberg</w:t>
      </w:r>
      <w:proofErr w:type="spellEnd"/>
      <w:r>
        <w:rPr>
          <w:rFonts w:eastAsiaTheme="minorEastAsia"/>
        </w:rPr>
        <w:t xml:space="preserve"> pour augmenter la SER, dans le second cas, on pourra utiliser des matériaux spécifiques et des formes géométriques particulières pour baisser la SER. </w:t>
      </w:r>
    </w:p>
    <w:p w:rsidR="00C200E9" w:rsidRDefault="00C200E9" w:rsidP="00063DCD">
      <w:pPr>
        <w:jc w:val="left"/>
        <w:rPr>
          <w:rFonts w:eastAsiaTheme="minorEastAsia"/>
        </w:rPr>
      </w:pPr>
    </w:p>
    <w:p w:rsidR="00063DCD" w:rsidRDefault="0079527A" w:rsidP="00063DCD">
      <w:pPr>
        <w:pStyle w:val="Titre2"/>
        <w:numPr>
          <w:ilvl w:val="0"/>
          <w:numId w:val="25"/>
        </w:numPr>
      </w:pPr>
      <w:r>
        <w:t>Parcimonie</w:t>
      </w:r>
    </w:p>
    <w:p w:rsidR="0079527A" w:rsidRDefault="0079527A" w:rsidP="0079527A"/>
    <w:p w:rsidR="00CD2403" w:rsidRDefault="0079527A" w:rsidP="0079527A">
      <w:r>
        <w:t xml:space="preserve">La représentation parcimonieuse des signaux est la représentation d’un signal avec un faible nombre de coefficients significatifs. Par </w:t>
      </w:r>
      <w:r w:rsidR="00751A83">
        <w:t>définition</w:t>
      </w:r>
      <w:r>
        <w:t>, un signal est dit parcimonieux lorsque la plupart de ses coefficients sont nuls</w:t>
      </w:r>
      <w:r w:rsidR="00751A83">
        <w:t xml:space="preserve"> (ou presque)</w:t>
      </w:r>
      <w:r>
        <w:t xml:space="preserve">. </w:t>
      </w:r>
      <w:r w:rsidR="00751A83">
        <w:t>Selon les situations, représenter un signal de manière parcimonieuse peut nous amener à utiliser plusieurs types d’algorithmes, pouvant donner des résultats aussi bien voire meilleurs avec des temps de calcul contenus.</w:t>
      </w:r>
    </w:p>
    <w:p w:rsidR="00816825" w:rsidRDefault="00816825" w:rsidP="0079527A"/>
    <w:p w:rsidR="00CD2403" w:rsidRDefault="00CD2403" w:rsidP="00CD2403">
      <w:pPr>
        <w:pStyle w:val="Titre2"/>
        <w:numPr>
          <w:ilvl w:val="0"/>
          <w:numId w:val="25"/>
        </w:numPr>
      </w:pPr>
      <w:r>
        <w:t xml:space="preserve">Imagerie </w:t>
      </w:r>
      <w:r w:rsidR="004C4E82">
        <w:t>SER</w:t>
      </w:r>
    </w:p>
    <w:p w:rsidR="00CD2403" w:rsidRDefault="00CD2403" w:rsidP="00CD2403"/>
    <w:p w:rsidR="008215CC" w:rsidRPr="0079527A" w:rsidRDefault="00816825" w:rsidP="0079527A">
      <w:r>
        <w:t xml:space="preserve">Le but final du projet sera de mettre en place une technique parcimonieuse d’imagerie SER en 2D, en s’inspirant de la méthode </w:t>
      </w:r>
      <w:r>
        <w:rPr>
          <w:i/>
          <w:iCs/>
        </w:rPr>
        <w:t>SPRITE</w:t>
      </w:r>
      <w:r>
        <w:t xml:space="preserve">. </w:t>
      </w:r>
      <w:r w:rsidR="00D06F76">
        <w:t>Obtenir une image</w:t>
      </w:r>
      <w:r w:rsidR="00DE5869">
        <w:t xml:space="preserve"> 2D ou 3D de la SER d’un objet permet, en situation, de pouvoir les classifier</w:t>
      </w:r>
      <w:r w:rsidR="002F5873">
        <w:t> : ce qui est particulièrement utile dans un contexte opérationnel (Naval, Aérien,</w:t>
      </w:r>
      <w:r w:rsidR="00CA1DA8">
        <w:t xml:space="preserve"> </w:t>
      </w:r>
      <w:r w:rsidR="002F5873">
        <w:t xml:space="preserve">…) </w:t>
      </w:r>
    </w:p>
    <w:p w:rsidR="0011715B" w:rsidRDefault="0011715B" w:rsidP="0011715B">
      <w:pPr>
        <w:pStyle w:val="Titre1"/>
        <w:numPr>
          <w:ilvl w:val="0"/>
          <w:numId w:val="21"/>
        </w:numPr>
      </w:pPr>
      <w:r>
        <w:t>Ressources à disposition</w:t>
      </w:r>
    </w:p>
    <w:p w:rsidR="00502500" w:rsidRDefault="00502500" w:rsidP="00502500"/>
    <w:p w:rsidR="00502500" w:rsidRDefault="00502500" w:rsidP="00502500">
      <w:pPr>
        <w:pStyle w:val="Titre2"/>
        <w:numPr>
          <w:ilvl w:val="0"/>
          <w:numId w:val="27"/>
        </w:numPr>
      </w:pPr>
      <w:r>
        <w:t xml:space="preserve">Ressources bibliographiques </w:t>
      </w:r>
    </w:p>
    <w:p w:rsidR="00502500" w:rsidRDefault="00502500" w:rsidP="00502500"/>
    <w:p w:rsidR="00502500" w:rsidRDefault="00502500" w:rsidP="00502500">
      <w:r>
        <w:t>Pour</w:t>
      </w:r>
      <w:r w:rsidR="008215CC">
        <w:t xml:space="preserve"> partir sur de bonnes bases, le Dr. </w:t>
      </w:r>
      <w:proofErr w:type="spellStart"/>
      <w:r w:rsidR="008215CC">
        <w:t>Comblet</w:t>
      </w:r>
      <w:proofErr w:type="spellEnd"/>
      <w:r w:rsidR="008215CC">
        <w:t xml:space="preserve"> m’a fait parvenir plusieurs documents : </w:t>
      </w:r>
    </w:p>
    <w:p w:rsidR="008215CC" w:rsidRDefault="008215CC" w:rsidP="008215CC">
      <w:pPr>
        <w:pStyle w:val="Paragraphedeliste"/>
        <w:numPr>
          <w:ilvl w:val="0"/>
          <w:numId w:val="26"/>
        </w:numPr>
      </w:pPr>
      <w:r>
        <w:t xml:space="preserve">Deux articles issus de </w:t>
      </w:r>
      <w:r w:rsidRPr="008215CC">
        <w:rPr>
          <w:i/>
          <w:iCs/>
        </w:rPr>
        <w:t>Techniques de l’Ingénieur</w:t>
      </w:r>
      <w:r>
        <w:t>, respectivement sur la furtivité RADAR, et les techniques de mesure de la SER</w:t>
      </w:r>
    </w:p>
    <w:p w:rsidR="00502500" w:rsidRDefault="008215CC" w:rsidP="00502500">
      <w:pPr>
        <w:pStyle w:val="Paragraphedeliste"/>
        <w:numPr>
          <w:ilvl w:val="0"/>
          <w:numId w:val="26"/>
        </w:numPr>
      </w:pPr>
      <w:r>
        <w:t xml:space="preserve">Deux articles </w:t>
      </w:r>
      <w:r w:rsidRPr="00CD2403">
        <w:rPr>
          <w:i/>
          <w:iCs/>
        </w:rPr>
        <w:t>IEEE</w:t>
      </w:r>
      <w:r>
        <w:t xml:space="preserve"> concernant la méthode SPRITE : </w:t>
      </w:r>
      <w:proofErr w:type="spellStart"/>
      <w:r>
        <w:t>Sparse</w:t>
      </w:r>
      <w:proofErr w:type="spellEnd"/>
      <w:r>
        <w:t xml:space="preserve"> RADAR Imaging Technique.</w:t>
      </w:r>
    </w:p>
    <w:p w:rsidR="00CD2403" w:rsidRDefault="00CD2403" w:rsidP="008215CC"/>
    <w:p w:rsidR="002F5873" w:rsidRDefault="00CD2403" w:rsidP="002F5873">
      <w:r>
        <w:t xml:space="preserve">Les articles de </w:t>
      </w:r>
      <w:r>
        <w:rPr>
          <w:i/>
          <w:iCs/>
        </w:rPr>
        <w:t>Techniques de l’ingénieur</w:t>
      </w:r>
      <w:r>
        <w:t xml:space="preserve"> permettent de sensibiliser aux notions de furtivité, de la SER et de sa mesure, tandis que les articles </w:t>
      </w:r>
      <w:r w:rsidRPr="00CD2403">
        <w:rPr>
          <w:i/>
          <w:iCs/>
        </w:rPr>
        <w:t>IEE</w:t>
      </w:r>
      <w:r>
        <w:rPr>
          <w:i/>
          <w:iCs/>
        </w:rPr>
        <w:t xml:space="preserve">E </w:t>
      </w:r>
      <w:r>
        <w:t xml:space="preserve">se focalise sur l’approche parcimonieuse pour la représentation 3D de la </w:t>
      </w:r>
      <w:r w:rsidR="002F5873">
        <w:t xml:space="preserve">SER. </w:t>
      </w:r>
    </w:p>
    <w:p w:rsidR="00502500" w:rsidRDefault="00502500" w:rsidP="00502500">
      <w:pPr>
        <w:pStyle w:val="Titre2"/>
        <w:numPr>
          <w:ilvl w:val="0"/>
          <w:numId w:val="27"/>
        </w:numPr>
      </w:pPr>
      <w:r>
        <w:t>Chambre anéchoïque</w:t>
      </w:r>
    </w:p>
    <w:p w:rsidR="003D4317" w:rsidRDefault="003D4317" w:rsidP="003D4317"/>
    <w:p w:rsidR="00D06F76" w:rsidRDefault="003D4317" w:rsidP="003D4317">
      <w:r>
        <w:t xml:space="preserve">Afin de mesurer et d’obtenir une image 2D de la SER d’un objet, l’école possède une chambre anéchoïque. </w:t>
      </w:r>
    </w:p>
    <w:p w:rsidR="00F115AF" w:rsidRDefault="00F115AF" w:rsidP="003D4317">
      <w:r>
        <w:t xml:space="preserve">Les murs de cette salle sont recouverts d’un matériaux spécial en forme de pyramides, faisant office de piège à ondes. (Dissipation de l’onde par effet Joule). </w:t>
      </w:r>
    </w:p>
    <w:p w:rsidR="002F5873" w:rsidRDefault="002F5873" w:rsidP="003D4317">
      <w:r>
        <w:t xml:space="preserve">Cette dernière possède deux antennes cornets à double polarisation posées sur un rail, reliées à un analyseur de réseau vectoriel. La cible est posée sur un support possédant trois moteurs permettant de </w:t>
      </w:r>
      <w:r w:rsidR="00B8466C">
        <w:t>modifier l’élévation, le gisement, et le roulis</w:t>
      </w:r>
      <w:r w:rsidR="00952C60">
        <w:t xml:space="preserve">, le tout étant commandé par un ordinateur et une IHM situé derrière la salle. </w:t>
      </w:r>
    </w:p>
    <w:p w:rsidR="00952C60" w:rsidRDefault="00CA1DA8" w:rsidP="003D4317">
      <w:r>
        <w:lastRenderedPageBreak/>
        <w:t>Les deux antennes cornet seront si proche, que l’on peut considérer notre situation comme quasi-</w:t>
      </w:r>
      <w:proofErr w:type="spellStart"/>
      <w:r>
        <w:t>monostatique</w:t>
      </w:r>
      <w:proofErr w:type="spellEnd"/>
      <w:r>
        <w:t>. (Voir l’influence de l’angle entre les antennes sur la SER – Techniques de l’ingénieurs)</w:t>
      </w:r>
    </w:p>
    <w:p w:rsidR="00952C60" w:rsidRDefault="00952C60" w:rsidP="00952C60">
      <w:pPr>
        <w:pStyle w:val="Titre2"/>
        <w:numPr>
          <w:ilvl w:val="0"/>
          <w:numId w:val="27"/>
        </w:numPr>
      </w:pPr>
      <w:r>
        <w:t>Ressources informatiques</w:t>
      </w:r>
    </w:p>
    <w:p w:rsidR="00952C60" w:rsidRDefault="00952C60" w:rsidP="00952C60"/>
    <w:p w:rsidR="00952C60" w:rsidRDefault="00952C60" w:rsidP="00952C60">
      <w:r>
        <w:t xml:space="preserve">Outre l’ordinateur pilotant le support où est posé la cible à éclairer, j’utiliserai mon ordinateur personnel ainsi que le logiciel Matlab®. </w:t>
      </w:r>
      <w:r w:rsidR="001C56A9">
        <w:t xml:space="preserve">Matlab est particulièrement pratique pour manipuler des matrices, et possède déjà de nombreuses </w:t>
      </w:r>
      <w:proofErr w:type="spellStart"/>
      <w:r w:rsidR="001C56A9">
        <w:rPr>
          <w:i/>
          <w:iCs/>
        </w:rPr>
        <w:t>Toolboxes</w:t>
      </w:r>
      <w:proofErr w:type="spellEnd"/>
      <w:r w:rsidR="001C56A9">
        <w:t xml:space="preserve"> permettant de garder un script concis et efficace. </w:t>
      </w:r>
    </w:p>
    <w:p w:rsidR="00730FBC" w:rsidRDefault="001C56A9" w:rsidP="00952C60">
      <w:r>
        <w:t>Les données à traiter sont des matrices dont les lignes correspondent aux différentes fréquences, et les colonnes aux différents angles d’observation (gisement de notre cible). Sur une partie de ces données, on appliquera une transformée inverse de Fourier</w:t>
      </w:r>
      <w:r w:rsidR="00730FBC">
        <w:t xml:space="preserve">, puis une transformée de Fourier permettant de créer une image 2D d’une certaine résolution. </w:t>
      </w:r>
    </w:p>
    <w:p w:rsidR="00730FBC" w:rsidRDefault="00730FBC" w:rsidP="00952C60">
      <w:r>
        <w:t xml:space="preserve">Il est probable que j’obtienne des mesures simulées afin de tester les méthodes au préalable. </w:t>
      </w:r>
    </w:p>
    <w:p w:rsidR="00730FBC" w:rsidRDefault="00730FBC" w:rsidP="00952C60"/>
    <w:p w:rsidR="00730FBC" w:rsidRDefault="00730FBC" w:rsidP="00952C60"/>
    <w:p w:rsidR="00E30225" w:rsidRDefault="00730FBC" w:rsidP="00E30225">
      <w:pPr>
        <w:pStyle w:val="Titre1"/>
      </w:pPr>
      <w:r>
        <w:t xml:space="preserve"> </w:t>
      </w:r>
      <w:r w:rsidR="00E30225">
        <w:t>Travail à effectuer pour les prochaines séances</w:t>
      </w:r>
    </w:p>
    <w:p w:rsidR="00E30225" w:rsidRDefault="00E30225" w:rsidP="00E30225"/>
    <w:p w:rsidR="00E30225" w:rsidRDefault="00E30225" w:rsidP="00E30225">
      <w:r>
        <w:t xml:space="preserve">Après rédaction de ce compte-rendu, je vais lire plus en détail les documents qui m’ont été fourni, et relire mes cours de Représentation Parcimonieuse. </w:t>
      </w:r>
    </w:p>
    <w:p w:rsidR="00E30225" w:rsidRDefault="00E30225" w:rsidP="00E30225"/>
    <w:p w:rsidR="00E30225" w:rsidRDefault="00E30225" w:rsidP="00E30225">
      <w:r>
        <w:t xml:space="preserve">Lorsque je serai à l’aise avec les notions, j’essaierai de travailler avec des données simulées. Le </w:t>
      </w:r>
      <w:proofErr w:type="spellStart"/>
      <w:r>
        <w:t>Dr. Comblet</w:t>
      </w:r>
      <w:proofErr w:type="spellEnd"/>
      <w:r>
        <w:t xml:space="preserve"> a mentionné qu’il possède un script Matlab permettant d’en générer. </w:t>
      </w:r>
    </w:p>
    <w:p w:rsidR="00E30225" w:rsidRPr="00E30225" w:rsidRDefault="00E30225" w:rsidP="00E30225">
      <w:r>
        <w:t xml:space="preserve">A partir de là, il me faudra mettre en place la méthode classique de génération d’image 2D, mais aussi d’adapter </w:t>
      </w:r>
      <w:r>
        <w:rPr>
          <w:i/>
          <w:iCs/>
        </w:rPr>
        <w:t>SPRITE</w:t>
      </w:r>
      <w:r>
        <w:t xml:space="preserve"> à un cas 2D. </w:t>
      </w:r>
    </w:p>
    <w:sectPr w:rsidR="00E30225" w:rsidRPr="00E30225" w:rsidSect="001C09A7">
      <w:headerReference w:type="default" r:id="rId11"/>
      <w:footerReference w:type="default" r:id="rId12"/>
      <w:pgSz w:w="11906" w:h="16838"/>
      <w:pgMar w:top="1417" w:right="70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A07F6" w:rsidRDefault="00FA07F6" w:rsidP="001C09A7">
      <w:pPr>
        <w:spacing w:line="240" w:lineRule="auto"/>
      </w:pPr>
      <w:r>
        <w:separator/>
      </w:r>
    </w:p>
  </w:endnote>
  <w:endnote w:type="continuationSeparator" w:id="0">
    <w:p w:rsidR="00FA07F6" w:rsidRDefault="00FA07F6" w:rsidP="001C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252724"/>
      <w:docPartObj>
        <w:docPartGallery w:val="Page Numbers (Bottom of Page)"/>
        <w:docPartUnique/>
      </w:docPartObj>
    </w:sdtPr>
    <w:sdtEndPr/>
    <w:sdtContent>
      <w:p w:rsidR="001C09A7" w:rsidRDefault="001C09A7" w:rsidP="001C09A7">
        <w:pPr>
          <w:pStyle w:val="Pieddepage"/>
          <w:pBdr>
            <w:bottom w:val="single" w:sz="4" w:space="1" w:color="auto"/>
          </w:pBdr>
        </w:pPr>
        <w:r>
          <w:rPr>
            <w:noProof/>
            <w:lang w:eastAsia="fr-FR"/>
          </w:rPr>
          <w:drawing>
            <wp:anchor distT="0" distB="0" distL="114300" distR="114300" simplePos="0" relativeHeight="251658752" behindDoc="0" locked="0" layoutInCell="1" allowOverlap="1" wp14:anchorId="69F855FD" wp14:editId="7707B5E8">
              <wp:simplePos x="0" y="0"/>
              <wp:positionH relativeFrom="column">
                <wp:posOffset>-537845</wp:posOffset>
              </wp:positionH>
              <wp:positionV relativeFrom="paragraph">
                <wp:posOffset>-5715</wp:posOffset>
              </wp:positionV>
              <wp:extent cx="476250" cy="600075"/>
              <wp:effectExtent l="19050" t="0" r="0"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rsidR="001C09A7" w:rsidRPr="00564C3B" w:rsidRDefault="00564C3B" w:rsidP="002121ED">
        <w:pPr>
          <w:pStyle w:val="Pieddepage"/>
          <w:tabs>
            <w:tab w:val="clear" w:pos="9072"/>
            <w:tab w:val="left" w:pos="9356"/>
            <w:tab w:val="right" w:pos="9498"/>
          </w:tabs>
          <w:ind w:left="4800" w:right="-426"/>
          <w:rPr>
            <w:szCs w:val="24"/>
          </w:rPr>
        </w:pPr>
        <w:r>
          <w:rPr>
            <w:szCs w:val="24"/>
          </w:rPr>
          <w:t>B</w:t>
        </w:r>
        <w:r w:rsidR="002121ED">
          <w:rPr>
            <w:szCs w:val="24"/>
          </w:rPr>
          <w:t>.M</w:t>
        </w:r>
        <w:r w:rsidR="001C09A7">
          <w:rPr>
            <w:szCs w:val="24"/>
          </w:rPr>
          <w:tab/>
        </w:r>
        <w:r w:rsidR="00A77A0E" w:rsidRPr="001320FC">
          <w:rPr>
            <w:b/>
            <w:szCs w:val="24"/>
          </w:rPr>
          <w:fldChar w:fldCharType="begin"/>
        </w:r>
        <w:r w:rsidR="001C09A7" w:rsidRPr="001320FC">
          <w:rPr>
            <w:b/>
            <w:szCs w:val="24"/>
          </w:rPr>
          <w:instrText xml:space="preserve"> PAGE   \* MERGEFORMAT </w:instrText>
        </w:r>
        <w:r w:rsidR="00A77A0E" w:rsidRPr="001320FC">
          <w:rPr>
            <w:b/>
            <w:szCs w:val="24"/>
          </w:rPr>
          <w:fldChar w:fldCharType="separate"/>
        </w:r>
        <w:r w:rsidR="00B129F1">
          <w:rPr>
            <w:b/>
            <w:noProof/>
            <w:szCs w:val="24"/>
          </w:rPr>
          <w:t>7</w:t>
        </w:r>
        <w:r w:rsidR="00A77A0E" w:rsidRPr="001320FC">
          <w:rPr>
            <w:b/>
            <w:szCs w:val="24"/>
          </w:rPr>
          <w:fldChar w:fldCharType="end"/>
        </w:r>
      </w:p>
    </w:sdtContent>
  </w:sdt>
  <w:p w:rsidR="001C09A7" w:rsidRDefault="001C09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A07F6" w:rsidRDefault="00FA07F6" w:rsidP="001C09A7">
      <w:pPr>
        <w:spacing w:line="240" w:lineRule="auto"/>
      </w:pPr>
      <w:r>
        <w:separator/>
      </w:r>
    </w:p>
  </w:footnote>
  <w:footnote w:type="continuationSeparator" w:id="0">
    <w:p w:rsidR="00FA07F6" w:rsidRDefault="00FA07F6" w:rsidP="001C09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70176" w:rsidRDefault="00D45635" w:rsidP="00F70176">
    <w:pPr>
      <w:pStyle w:val="En-tte"/>
      <w:pBdr>
        <w:bottom w:val="single" w:sz="4" w:space="1" w:color="auto"/>
      </w:pBdr>
    </w:pPr>
    <w:r>
      <w:rPr>
        <w:szCs w:val="24"/>
      </w:rPr>
      <w:t>Projet 6.1 - PARCISER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8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4592D"/>
    <w:multiLevelType w:val="hybridMultilevel"/>
    <w:tmpl w:val="BB6E0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BF2A6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2B15114"/>
    <w:multiLevelType w:val="hybridMultilevel"/>
    <w:tmpl w:val="150A78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FE5FB6"/>
    <w:multiLevelType w:val="hybridMultilevel"/>
    <w:tmpl w:val="9D4636CE"/>
    <w:lvl w:ilvl="0" w:tplc="99E460C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685C47"/>
    <w:multiLevelType w:val="hybridMultilevel"/>
    <w:tmpl w:val="12580F5E"/>
    <w:lvl w:ilvl="0" w:tplc="25301D8E">
      <w:start w:val="1"/>
      <w:numFmt w:val="upp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6" w15:restartNumberingAfterBreak="0">
    <w:nsid w:val="282F4910"/>
    <w:multiLevelType w:val="hybridMultilevel"/>
    <w:tmpl w:val="3DA8D13E"/>
    <w:lvl w:ilvl="0" w:tplc="C9E619FC">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5C6106"/>
    <w:multiLevelType w:val="hybridMultilevel"/>
    <w:tmpl w:val="16F63026"/>
    <w:lvl w:ilvl="0" w:tplc="CCBCE9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B06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AC586B"/>
    <w:multiLevelType w:val="hybridMultilevel"/>
    <w:tmpl w:val="C4662912"/>
    <w:lvl w:ilvl="0" w:tplc="9EF47F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24A046F"/>
    <w:multiLevelType w:val="hybridMultilevel"/>
    <w:tmpl w:val="2F206490"/>
    <w:lvl w:ilvl="0" w:tplc="71206D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2A06F22"/>
    <w:multiLevelType w:val="hybridMultilevel"/>
    <w:tmpl w:val="FEA22B22"/>
    <w:lvl w:ilvl="0" w:tplc="31AC1F9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1D3466"/>
    <w:multiLevelType w:val="hybridMultilevel"/>
    <w:tmpl w:val="D00CF40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3B2C3C73"/>
    <w:multiLevelType w:val="hybridMultilevel"/>
    <w:tmpl w:val="6A106BE0"/>
    <w:lvl w:ilvl="0" w:tplc="2CF0788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926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D6084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816A67"/>
    <w:multiLevelType w:val="hybridMultilevel"/>
    <w:tmpl w:val="04C450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1C3B7C"/>
    <w:multiLevelType w:val="hybridMultilevel"/>
    <w:tmpl w:val="F76CA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C0E0AEC"/>
    <w:multiLevelType w:val="hybridMultilevel"/>
    <w:tmpl w:val="1E3C6B9A"/>
    <w:lvl w:ilvl="0" w:tplc="C95A147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70F2D98"/>
    <w:multiLevelType w:val="hybridMultilevel"/>
    <w:tmpl w:val="F4F6257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85D3C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CD2C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51043A"/>
    <w:multiLevelType w:val="hybridMultilevel"/>
    <w:tmpl w:val="C0FC12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9E3793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B0E44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D461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BE3DBE"/>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5"/>
  </w:num>
  <w:num w:numId="2">
    <w:abstractNumId w:val="17"/>
  </w:num>
  <w:num w:numId="3">
    <w:abstractNumId w:val="0"/>
  </w:num>
  <w:num w:numId="4">
    <w:abstractNumId w:val="24"/>
  </w:num>
  <w:num w:numId="5">
    <w:abstractNumId w:val="14"/>
  </w:num>
  <w:num w:numId="6">
    <w:abstractNumId w:val="22"/>
  </w:num>
  <w:num w:numId="7">
    <w:abstractNumId w:val="2"/>
  </w:num>
  <w:num w:numId="8">
    <w:abstractNumId w:val="7"/>
  </w:num>
  <w:num w:numId="9">
    <w:abstractNumId w:val="6"/>
  </w:num>
  <w:num w:numId="10">
    <w:abstractNumId w:val="1"/>
  </w:num>
  <w:num w:numId="11">
    <w:abstractNumId w:val="21"/>
  </w:num>
  <w:num w:numId="12">
    <w:abstractNumId w:val="8"/>
  </w:num>
  <w:num w:numId="13">
    <w:abstractNumId w:val="20"/>
  </w:num>
  <w:num w:numId="14">
    <w:abstractNumId w:val="11"/>
  </w:num>
  <w:num w:numId="15">
    <w:abstractNumId w:val="5"/>
  </w:num>
  <w:num w:numId="16">
    <w:abstractNumId w:val="10"/>
  </w:num>
  <w:num w:numId="17">
    <w:abstractNumId w:val="13"/>
  </w:num>
  <w:num w:numId="18">
    <w:abstractNumId w:val="23"/>
  </w:num>
  <w:num w:numId="19">
    <w:abstractNumId w:val="15"/>
  </w:num>
  <w:num w:numId="20">
    <w:abstractNumId w:val="26"/>
  </w:num>
  <w:num w:numId="21">
    <w:abstractNumId w:val="4"/>
  </w:num>
  <w:num w:numId="22">
    <w:abstractNumId w:val="9"/>
  </w:num>
  <w:num w:numId="23">
    <w:abstractNumId w:val="3"/>
  </w:num>
  <w:num w:numId="24">
    <w:abstractNumId w:val="16"/>
  </w:num>
  <w:num w:numId="25">
    <w:abstractNumId w:val="19"/>
  </w:num>
  <w:num w:numId="26">
    <w:abstractNumId w:val="18"/>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45"/>
    <w:rsid w:val="00024B0D"/>
    <w:rsid w:val="000622BA"/>
    <w:rsid w:val="00063DCD"/>
    <w:rsid w:val="000715E9"/>
    <w:rsid w:val="00091936"/>
    <w:rsid w:val="000C4829"/>
    <w:rsid w:val="000C4EE5"/>
    <w:rsid w:val="000C760C"/>
    <w:rsid w:val="0010681B"/>
    <w:rsid w:val="00110240"/>
    <w:rsid w:val="00113F58"/>
    <w:rsid w:val="0011715B"/>
    <w:rsid w:val="00136E17"/>
    <w:rsid w:val="001C09A7"/>
    <w:rsid w:val="001C56A9"/>
    <w:rsid w:val="001E6E18"/>
    <w:rsid w:val="00205D35"/>
    <w:rsid w:val="002121ED"/>
    <w:rsid w:val="00263CE9"/>
    <w:rsid w:val="00293DE8"/>
    <w:rsid w:val="002B5CC6"/>
    <w:rsid w:val="002C4E93"/>
    <w:rsid w:val="002F5873"/>
    <w:rsid w:val="00306105"/>
    <w:rsid w:val="0031052C"/>
    <w:rsid w:val="00330B9F"/>
    <w:rsid w:val="00341B98"/>
    <w:rsid w:val="003D4317"/>
    <w:rsid w:val="003D659E"/>
    <w:rsid w:val="003E1D6D"/>
    <w:rsid w:val="003F1C74"/>
    <w:rsid w:val="00402343"/>
    <w:rsid w:val="0041063A"/>
    <w:rsid w:val="00421A97"/>
    <w:rsid w:val="00423115"/>
    <w:rsid w:val="00434D7D"/>
    <w:rsid w:val="00444845"/>
    <w:rsid w:val="00452AA8"/>
    <w:rsid w:val="004C4E82"/>
    <w:rsid w:val="004D5D8D"/>
    <w:rsid w:val="00502500"/>
    <w:rsid w:val="0056203F"/>
    <w:rsid w:val="00564C3B"/>
    <w:rsid w:val="00571200"/>
    <w:rsid w:val="0058618C"/>
    <w:rsid w:val="005C2C14"/>
    <w:rsid w:val="005D3A39"/>
    <w:rsid w:val="00622A07"/>
    <w:rsid w:val="00651113"/>
    <w:rsid w:val="0066324F"/>
    <w:rsid w:val="006C5BB3"/>
    <w:rsid w:val="006C71C0"/>
    <w:rsid w:val="006F600B"/>
    <w:rsid w:val="007025C6"/>
    <w:rsid w:val="00710330"/>
    <w:rsid w:val="00730FBC"/>
    <w:rsid w:val="00751A83"/>
    <w:rsid w:val="00755736"/>
    <w:rsid w:val="00772700"/>
    <w:rsid w:val="00793122"/>
    <w:rsid w:val="0079527A"/>
    <w:rsid w:val="007C2BDA"/>
    <w:rsid w:val="007D3D12"/>
    <w:rsid w:val="007F1B7D"/>
    <w:rsid w:val="00804F89"/>
    <w:rsid w:val="00811AB4"/>
    <w:rsid w:val="00816825"/>
    <w:rsid w:val="008215CC"/>
    <w:rsid w:val="00897B65"/>
    <w:rsid w:val="008A3E73"/>
    <w:rsid w:val="008E5D29"/>
    <w:rsid w:val="008F379D"/>
    <w:rsid w:val="009226AF"/>
    <w:rsid w:val="00952C60"/>
    <w:rsid w:val="00964FC4"/>
    <w:rsid w:val="00966AE8"/>
    <w:rsid w:val="009B4656"/>
    <w:rsid w:val="00A240AB"/>
    <w:rsid w:val="00A26A0F"/>
    <w:rsid w:val="00A3369C"/>
    <w:rsid w:val="00A36D86"/>
    <w:rsid w:val="00A54A4B"/>
    <w:rsid w:val="00A77A0E"/>
    <w:rsid w:val="00AC295F"/>
    <w:rsid w:val="00B129F1"/>
    <w:rsid w:val="00B258B0"/>
    <w:rsid w:val="00B8466C"/>
    <w:rsid w:val="00BB2D1B"/>
    <w:rsid w:val="00BD2649"/>
    <w:rsid w:val="00BF1DA3"/>
    <w:rsid w:val="00C200E9"/>
    <w:rsid w:val="00C410C9"/>
    <w:rsid w:val="00C47111"/>
    <w:rsid w:val="00C73976"/>
    <w:rsid w:val="00C94C89"/>
    <w:rsid w:val="00CA1DA8"/>
    <w:rsid w:val="00CA5D2F"/>
    <w:rsid w:val="00CD2403"/>
    <w:rsid w:val="00CE095C"/>
    <w:rsid w:val="00D04A59"/>
    <w:rsid w:val="00D06F76"/>
    <w:rsid w:val="00D45635"/>
    <w:rsid w:val="00D4598B"/>
    <w:rsid w:val="00D6339D"/>
    <w:rsid w:val="00D761A0"/>
    <w:rsid w:val="00DA672B"/>
    <w:rsid w:val="00DA7760"/>
    <w:rsid w:val="00DE5869"/>
    <w:rsid w:val="00DF12D7"/>
    <w:rsid w:val="00E30225"/>
    <w:rsid w:val="00E35E7F"/>
    <w:rsid w:val="00E36312"/>
    <w:rsid w:val="00E65509"/>
    <w:rsid w:val="00E713C3"/>
    <w:rsid w:val="00E91AAC"/>
    <w:rsid w:val="00EA3C86"/>
    <w:rsid w:val="00F115AF"/>
    <w:rsid w:val="00F66941"/>
    <w:rsid w:val="00F70176"/>
    <w:rsid w:val="00F914C6"/>
    <w:rsid w:val="00F926E5"/>
    <w:rsid w:val="00FA07F6"/>
    <w:rsid w:val="00FE64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BFE4"/>
  <w15:docId w15:val="{D3886DC7-2934-444A-A936-2F807982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105"/>
    <w:pPr>
      <w:spacing w:after="0"/>
      <w:jc w:val="both"/>
    </w:pPr>
  </w:style>
  <w:style w:type="paragraph" w:styleId="Titre1">
    <w:name w:val="heading 1"/>
    <w:basedOn w:val="Normal"/>
    <w:next w:val="Normal"/>
    <w:link w:val="Titre1C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8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84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845"/>
    <w:pPr>
      <w:ind w:left="720"/>
      <w:contextualSpacing/>
    </w:pPr>
  </w:style>
  <w:style w:type="paragraph" w:styleId="En-ttedetabledesmatires">
    <w:name w:val="TOC Heading"/>
    <w:basedOn w:val="Titre1"/>
    <w:next w:val="Normal"/>
    <w:uiPriority w:val="39"/>
    <w:semiHidden/>
    <w:unhideWhenUsed/>
    <w:qFormat/>
    <w:rsid w:val="006C71C0"/>
    <w:pPr>
      <w:outlineLvl w:val="9"/>
    </w:pPr>
  </w:style>
  <w:style w:type="paragraph" w:styleId="TM1">
    <w:name w:val="toc 1"/>
    <w:basedOn w:val="Normal"/>
    <w:next w:val="Normal"/>
    <w:autoRedefine/>
    <w:uiPriority w:val="39"/>
    <w:unhideWhenUsed/>
    <w:rsid w:val="006C71C0"/>
    <w:pPr>
      <w:spacing w:after="100"/>
    </w:pPr>
  </w:style>
  <w:style w:type="paragraph" w:styleId="TM2">
    <w:name w:val="toc 2"/>
    <w:basedOn w:val="Normal"/>
    <w:next w:val="Normal"/>
    <w:autoRedefine/>
    <w:uiPriority w:val="39"/>
    <w:unhideWhenUsed/>
    <w:rsid w:val="006C71C0"/>
    <w:pPr>
      <w:spacing w:after="100"/>
      <w:ind w:left="220"/>
    </w:pPr>
  </w:style>
  <w:style w:type="character" w:styleId="Lienhypertexte">
    <w:name w:val="Hyperlink"/>
    <w:basedOn w:val="Policepardfaut"/>
    <w:uiPriority w:val="99"/>
    <w:unhideWhenUsed/>
    <w:rsid w:val="006C71C0"/>
    <w:rPr>
      <w:color w:val="0000FF" w:themeColor="hyperlink"/>
      <w:u w:val="single"/>
    </w:rPr>
  </w:style>
  <w:style w:type="paragraph" w:styleId="Textedebulles">
    <w:name w:val="Balloon Text"/>
    <w:basedOn w:val="Normal"/>
    <w:link w:val="TextedebullesCar"/>
    <w:uiPriority w:val="99"/>
    <w:semiHidden/>
    <w:unhideWhenUsed/>
    <w:rsid w:val="006C7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71C0"/>
    <w:rPr>
      <w:rFonts w:ascii="Tahoma" w:hAnsi="Tahoma" w:cs="Tahoma"/>
      <w:sz w:val="16"/>
      <w:szCs w:val="16"/>
    </w:rPr>
  </w:style>
  <w:style w:type="table" w:styleId="Grilledutableau">
    <w:name w:val="Table Grid"/>
    <w:basedOn w:val="TableauNormal"/>
    <w:uiPriority w:val="59"/>
    <w:rsid w:val="001C0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C09A7"/>
    <w:pPr>
      <w:tabs>
        <w:tab w:val="center" w:pos="4536"/>
        <w:tab w:val="right" w:pos="9072"/>
      </w:tabs>
      <w:spacing w:line="240" w:lineRule="auto"/>
    </w:pPr>
  </w:style>
  <w:style w:type="character" w:customStyle="1" w:styleId="En-tteCar">
    <w:name w:val="En-tête Car"/>
    <w:basedOn w:val="Policepardfaut"/>
    <w:link w:val="En-tte"/>
    <w:uiPriority w:val="99"/>
    <w:rsid w:val="001C09A7"/>
  </w:style>
  <w:style w:type="paragraph" w:styleId="Pieddepage">
    <w:name w:val="footer"/>
    <w:basedOn w:val="Normal"/>
    <w:link w:val="PieddepageCar"/>
    <w:uiPriority w:val="99"/>
    <w:unhideWhenUsed/>
    <w:rsid w:val="001C09A7"/>
    <w:pPr>
      <w:tabs>
        <w:tab w:val="center" w:pos="4536"/>
        <w:tab w:val="right" w:pos="9072"/>
      </w:tabs>
      <w:spacing w:line="240" w:lineRule="auto"/>
    </w:pPr>
  </w:style>
  <w:style w:type="character" w:customStyle="1" w:styleId="PieddepageCar">
    <w:name w:val="Pied de page Car"/>
    <w:basedOn w:val="Policepardfaut"/>
    <w:link w:val="Pieddepage"/>
    <w:uiPriority w:val="99"/>
    <w:rsid w:val="001C09A7"/>
  </w:style>
  <w:style w:type="character" w:styleId="Mentionnonrsolue">
    <w:name w:val="Unresolved Mention"/>
    <w:basedOn w:val="Policepardfaut"/>
    <w:uiPriority w:val="99"/>
    <w:semiHidden/>
    <w:unhideWhenUsed/>
    <w:rsid w:val="00E91AAC"/>
    <w:rPr>
      <w:color w:val="605E5C"/>
      <w:shd w:val="clear" w:color="auto" w:fill="E1DFDD"/>
    </w:rPr>
  </w:style>
  <w:style w:type="character" w:styleId="Textedelespacerserv">
    <w:name w:val="Placeholder Text"/>
    <w:basedOn w:val="Policepardfaut"/>
    <w:uiPriority w:val="99"/>
    <w:semiHidden/>
    <w:rsid w:val="00DF12D7"/>
    <w:rPr>
      <w:color w:val="808080"/>
    </w:rPr>
  </w:style>
  <w:style w:type="paragraph" w:styleId="NormalWeb">
    <w:name w:val="Normal (Web)"/>
    <w:basedOn w:val="Normal"/>
    <w:uiPriority w:val="99"/>
    <w:semiHidden/>
    <w:unhideWhenUsed/>
    <w:rsid w:val="0079527A"/>
    <w:pPr>
      <w:spacing w:before="100" w:beforeAutospacing="1" w:after="100" w:afterAutospacing="1" w:line="240" w:lineRule="auto"/>
      <w:jc w:val="left"/>
    </w:pPr>
    <w:rPr>
      <w:rFonts w:ascii="Times New Roman" w:eastAsia="Times New Roman" w:hAnsi="Times New Roman" w:cs="Times New Roman"/>
      <w:sz w:val="24"/>
      <w:szCs w:val="24"/>
      <w:lang w:eastAsia="ja-JP"/>
    </w:rPr>
  </w:style>
  <w:style w:type="paragraph" w:styleId="Sansinterligne">
    <w:name w:val="No Spacing"/>
    <w:uiPriority w:val="1"/>
    <w:qFormat/>
    <w:rsid w:val="00751A83"/>
    <w:pPr>
      <w:spacing w:after="0" w:line="240" w:lineRule="auto"/>
      <w:jc w:val="both"/>
    </w:pPr>
  </w:style>
  <w:style w:type="character" w:styleId="Lienhypertextesuivivisit">
    <w:name w:val="FollowedHyperlink"/>
    <w:basedOn w:val="Policepardfaut"/>
    <w:uiPriority w:val="99"/>
    <w:semiHidden/>
    <w:unhideWhenUsed/>
    <w:rsid w:val="001C56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588">
      <w:bodyDiv w:val="1"/>
      <w:marLeft w:val="0"/>
      <w:marRight w:val="0"/>
      <w:marTop w:val="0"/>
      <w:marBottom w:val="0"/>
      <w:divBdr>
        <w:top w:val="none" w:sz="0" w:space="0" w:color="auto"/>
        <w:left w:val="none" w:sz="0" w:space="0" w:color="auto"/>
        <w:bottom w:val="none" w:sz="0" w:space="0" w:color="auto"/>
        <w:right w:val="none" w:sz="0" w:space="0" w:color="auto"/>
      </w:divBdr>
      <w:divsChild>
        <w:div w:id="615987497">
          <w:marLeft w:val="0"/>
          <w:marRight w:val="0"/>
          <w:marTop w:val="0"/>
          <w:marBottom w:val="0"/>
          <w:divBdr>
            <w:top w:val="none" w:sz="0" w:space="0" w:color="auto"/>
            <w:left w:val="none" w:sz="0" w:space="0" w:color="auto"/>
            <w:bottom w:val="none" w:sz="0" w:space="0" w:color="auto"/>
            <w:right w:val="none" w:sz="0" w:space="0" w:color="auto"/>
          </w:divBdr>
          <w:divsChild>
            <w:div w:id="593369044">
              <w:marLeft w:val="0"/>
              <w:marRight w:val="0"/>
              <w:marTop w:val="0"/>
              <w:marBottom w:val="0"/>
              <w:divBdr>
                <w:top w:val="none" w:sz="0" w:space="0" w:color="auto"/>
                <w:left w:val="none" w:sz="0" w:space="0" w:color="auto"/>
                <w:bottom w:val="none" w:sz="0" w:space="0" w:color="auto"/>
                <w:right w:val="none" w:sz="0" w:space="0" w:color="auto"/>
              </w:divBdr>
              <w:divsChild>
                <w:div w:id="8076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axime.barret@ensta-bretagne.or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F4287D-B0AF-8548-AC4A-5D0BCE7D0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1005</Words>
  <Characters>5532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Maxime BARRET (FISE_2021)</cp:lastModifiedBy>
  <cp:revision>25</cp:revision>
  <dcterms:created xsi:type="dcterms:W3CDTF">2020-10-19T18:52:00Z</dcterms:created>
  <dcterms:modified xsi:type="dcterms:W3CDTF">2020-10-23T12:49:00Z</dcterms:modified>
</cp:coreProperties>
</file>