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p w:rsidR="00A44947" w:rsidRDefault="00A44947">
      <w:r>
        <w:t>Термины</w:t>
      </w:r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A44947" w:rsidRPr="00A44947" w:rsidRDefault="00A44947" w:rsidP="006F5E2B">
      <w:pPr>
        <w:pStyle w:val="1"/>
      </w:pPr>
      <w:r>
        <w:t>ФАЙЛ КОНФИГУРАЦИИ</w:t>
      </w:r>
      <w:r w:rsidRPr="007332F3">
        <w:t xml:space="preserve"> </w:t>
      </w:r>
      <w:r>
        <w:t>СИСТЕМЫ</w:t>
      </w:r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44947" w:rsidRDefault="00A44947">
      <w:r>
        <w:t>Удаление из файла параметров не допустимо!</w:t>
      </w:r>
    </w:p>
    <w:p w:rsidR="00A44947" w:rsidRDefault="00A44947" w:rsidP="006F5E2B">
      <w:pPr>
        <w:pStyle w:val="1"/>
      </w:pPr>
      <w:r>
        <w:t>ЛИЦЕНЗИРОВАНИЕ</w:t>
      </w:r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r>
        <w:t>СПРАВОЧНИКИ</w:t>
      </w:r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r>
        <w:t>СТРУКТУРА СПРАВОЧНИКОВ</w:t>
      </w:r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75"/>
        <w:gridCol w:w="3810"/>
        <w:gridCol w:w="2529"/>
        <w:gridCol w:w="2557"/>
      </w:tblGrid>
      <w:tr w:rsidR="003E280B" w:rsidRPr="008A040B" w:rsidTr="003E280B">
        <w:trPr>
          <w:tblHeader/>
        </w:trPr>
        <w:tc>
          <w:tcPr>
            <w:tcW w:w="675" w:type="dxa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lastRenderedPageBreak/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  <w:bookmarkStart w:id="0" w:name="_GoBack"/>
        <w:bookmarkEnd w:id="0"/>
      </w:tr>
    </w:tbl>
    <w:p w:rsidR="008A040B" w:rsidRDefault="008A040B" w:rsidP="008A040B"/>
    <w:p w:rsidR="002C7C6C" w:rsidRDefault="002C7C6C" w:rsidP="002C7C6C">
      <w:pPr>
        <w:pStyle w:val="2"/>
      </w:pPr>
      <w:r>
        <w:t>СОСТОЯНИЯ</w:t>
      </w:r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r>
        <w:t>КОНТРАГЕНТЫ</w:t>
      </w:r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r>
        <w:t>ПОЛЬЗОВАТЕЛИ</w:t>
      </w:r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r>
        <w:t>ШТАТНЫЕ ЕДИНИЦЫ</w:t>
      </w:r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Pr="008A040B" w:rsidRDefault="00545084" w:rsidP="00545084">
      <w:pPr>
        <w:jc w:val="both"/>
      </w:pPr>
    </w:p>
    <w:p w:rsidR="00545084" w:rsidRPr="00B51EBF" w:rsidRDefault="00545084" w:rsidP="008A040B"/>
    <w:p w:rsidR="006F5E2B" w:rsidRDefault="006F5E2B" w:rsidP="006F5E2B">
      <w:pPr>
        <w:pStyle w:val="1"/>
      </w:pPr>
      <w:r>
        <w:lastRenderedPageBreak/>
        <w:t>НАСТРОЙКА ПРАВ ДОСТУПА</w:t>
      </w:r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r>
        <w:t>НАСТРОЙКА ПРАВ ДОСТУПА К СПРАВОЧНИКАМ</w:t>
      </w:r>
    </w:p>
    <w:p w:rsidR="006F5E2B" w:rsidRPr="008A040B" w:rsidRDefault="006F5E2B" w:rsidP="006F5E2B">
      <w:pPr>
        <w:pStyle w:val="3"/>
      </w:pPr>
      <w:r>
        <w:t>НАСТРОЙКА ДЕФОЛТНЫХ ПРАВ ДОСТУПА</w:t>
      </w:r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r>
        <w:t>КОНТРАГЕНТЫ</w:t>
      </w:r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lastRenderedPageBreak/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r>
        <w:t xml:space="preserve">ПОЛЬЗОВАТЕЛИ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r>
        <w:t>ДОКУМЕНТЫ</w:t>
      </w:r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r>
        <w:t>НАСТРОЙКА ПРАВ ДОСТУПА К ПОДЧИНЁННЫМ СПРАВОЧНИКАМ</w:t>
      </w:r>
    </w:p>
    <w:p w:rsidR="00B51EBF" w:rsidRPr="006F5E2B" w:rsidRDefault="00B51EBF" w:rsidP="006F5E2B"/>
    <w:sectPr w:rsidR="00B51EBF" w:rsidRPr="006F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196EDC"/>
    <w:rsid w:val="00233085"/>
    <w:rsid w:val="002C7C6C"/>
    <w:rsid w:val="00373BBB"/>
    <w:rsid w:val="00393057"/>
    <w:rsid w:val="003E280B"/>
    <w:rsid w:val="0047277E"/>
    <w:rsid w:val="00545084"/>
    <w:rsid w:val="00545E34"/>
    <w:rsid w:val="006F5E2B"/>
    <w:rsid w:val="007332F3"/>
    <w:rsid w:val="00881D12"/>
    <w:rsid w:val="008A040B"/>
    <w:rsid w:val="00A44947"/>
    <w:rsid w:val="00B22494"/>
    <w:rsid w:val="00B51EBF"/>
    <w:rsid w:val="00B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19</cp:revision>
  <dcterms:created xsi:type="dcterms:W3CDTF">2017-05-15T08:52:00Z</dcterms:created>
  <dcterms:modified xsi:type="dcterms:W3CDTF">2017-05-18T07:57:00Z</dcterms:modified>
</cp:coreProperties>
</file>