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jc w:val="center"/>
      </w:pPr>
      <w:r>
        <w:rPr>
          <w:b/>
          <w:bCs/>
          <w:color w:val="344E41"/>
          <w:sz w:val="28"/>
          <w:szCs w:val="28"/>
        </w:rPr>
        <w:t xml:space="preserve">BMS DESIGN SYSTEM</w:t>
      </w:r>
    </w:p>
    <w:p>
      <w:pPr>
        <w:spacing w:after="100" w:before="200"/>
        <w:jc w:val="center"/>
      </w:pPr>
      <w:r>
        <w:rPr>
          <w:b/>
          <w:bCs/>
          <w:color w:val="6B7060"/>
          <w:sz w:val="24"/>
          <w:szCs w:val="24"/>
        </w:rPr>
        <w:t xml:space="preserve">Volume 1</w:t>
      </w:r>
    </w:p>
    <w:p>
      <w:pPr>
        <w:spacing w:after="200"/>
        <w:jc w:val="center"/>
      </w:pPr>
      <w:r>
        <w:rPr>
          <w:b/>
          <w:bCs/>
          <w:color w:val="2B2B26"/>
          <w:sz w:val="60"/>
          <w:szCs w:val="60"/>
        </w:rPr>
        <w:t xml:space="preserve">Design Foundations</w:t>
      </w:r>
    </w:p>
    <w:p>
      <w:pPr>
        <w:spacing w:after="1000"/>
        <w:jc w:val="center"/>
      </w:pPr>
      <w:r>
        <w:rPr>
          <w:color w:val="6B7060"/>
          <w:sz w:val="24"/>
          <w:szCs w:val="24"/>
        </w:rPr>
        <w:t xml:space="preserve">Principles, color, type, spacing, elevation, motion, accessibility, and naming for the BMS platform</w:t>
      </w:r>
    </w:p>
    <w:p>
      <w:pPr>
        <w:spacing w:before="3600"/>
        <w:jc w:val="center"/>
      </w:pPr>
      <w:r>
        <w:rPr>
          <w:color w:val="6B7060"/>
          <w:sz w:val="22"/>
          <w:szCs w:val="22"/>
        </w:rPr>
        <w:t xml:space="preserve">Version 2.0</w:t>
      </w:r>
    </w:p>
    <w:p>
      <w:pPr>
        <w:jc w:val="center"/>
      </w:pPr>
      <w:r>
        <w:rPr>
          <w:color w:val="6B7060"/>
          <w:sz w:val="22"/>
          <w:szCs w:val="22"/>
        </w:rPr>
        <w:t xml:space="preserve">July 2026</w:t>
      </w:r>
    </w:p>
    <w:p>
      <w:pPr>
        <w:spacing w:before="200"/>
        <w:jc w:val="center"/>
      </w:pPr>
      <w:r>
        <w:rPr>
          <w:i/>
          <w:iCs/>
          <w:color w:val="6B7060"/>
          <w:sz w:val="20"/>
          <w:szCs w:val="20"/>
        </w:rPr>
        <w:t xml:space="preserve">Companion documents: Volume 2 — Component Library · Volume 3 — Patterns &amp; Workflows</w:t>
      </w:r>
    </w:p>
    <w:p>
      <w:r>
        <w:br w:type="page"/>
      </w:r>
    </w:p>
    <w:p>
      <w:pPr>
        <w:pStyle w:val="Heading1"/>
        <w:spacing w:after="240" w:before="480"/>
      </w:pPr>
      <w:r>
        <w:rPr>
          <w:b/>
          <w:bCs/>
          <w:color w:val="344E41"/>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344E41"/>
        </w:rPr>
        <w:t xml:space="preserve">1. Introduction</w:t>
      </w:r>
    </w:p>
    <w:p>
      <w:pPr>
        <w:spacing w:after="160"/>
      </w:pPr>
      <w:r>
        <w:rPr>
          <w:i w:val="false"/>
          <w:iCs w:val="false"/>
          <w:color w:val="2B2B26"/>
        </w:rPr>
        <w:t xml:space="preserve">This document is the first of three companion volumes that together form the single source of truth for every visual, interaction, usability, and workflow decision across the BMS (Business Management System) platform. It is used by designers, developers, reviewers, and AI assistants to produce consistent interfaces without repeatedly redesigning patterns from scratch.</w:t>
      </w:r>
    </w:p>
    <w:p>
      <w:pPr>
        <w:spacing w:after="160"/>
      </w:pPr>
      <w:r>
        <w:rPr>
          <w:i w:val="false"/>
          <w:iCs w:val="false"/>
          <w:color w:val="2B2B26"/>
        </w:rPr>
        <w:t xml:space="preserve">BMS is a modular, multi-tenant SaaS platform built primarily for Kenyan SMEs — supermarkets, wholesalers, pharmacies, hardware stores, and other retail businesses. It supports Organizations, Businesses, Branches, Employees, and role-based access control across three primary roles: Owner, Manager, and Cashier. The design system is written to scale to future modules and role types, not just the screens that exist today.</w:t>
      </w:r>
    </w:p>
    <w:p>
      <w:pPr>
        <w:pStyle w:val="Heading2"/>
        <w:spacing w:after="160" w:before="360"/>
      </w:pPr>
      <w:r>
        <w:rPr>
          <w:b/>
          <w:bCs/>
          <w:color w:val="344E41"/>
        </w:rPr>
        <w:t xml:space="preserve">1.1 A Three-Volume System</w:t>
      </w:r>
    </w:p>
    <w:p>
      <w:pPr>
        <w:spacing w:after="160"/>
      </w:pPr>
      <w:r>
        <w:rPr>
          <w:i w:val="false"/>
          <w:iCs w:val="false"/>
          <w:color w:val="2B2B26"/>
        </w:rPr>
        <w:t xml:space="preserve">As BMS grows, a single monolithic design document becomes difficult to navigate and maintain. The design system is therefore split into three companion volumes, each with a distinct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50"/>
      </w:tblGrid>
      <w:tr>
        <w:trPr>
          <w:tblHeader/>
        </w:trPr>
        <w:tc>
          <w:tcPr>
            <w:tcW w:type="dxa" w:w="3000"/>
            <w:shd w:fill="344E41" w:val="clear"/>
            <w:tcMar>
              <w:top w:type="dxa" w:w="100"/>
              <w:left w:type="dxa" w:w="120"/>
              <w:bottom w:type="dxa" w:w="100"/>
              <w:right w:type="dxa" w:w="120"/>
            </w:tcMar>
            <w:vAlign w:val="center"/>
          </w:tcPr>
          <w:p>
            <w:r>
              <w:rPr>
                <w:b/>
                <w:bCs/>
                <w:color w:val="FFFFFF"/>
                <w:sz w:val="20"/>
                <w:szCs w:val="20"/>
              </w:rPr>
              <w:t xml:space="preserve">Volume</w:t>
            </w:r>
          </w:p>
        </w:tc>
        <w:tc>
          <w:tcPr>
            <w:tcW w:type="dxa" w:w="5000"/>
            <w:shd w:fill="344E41" w:val="clear"/>
            <w:tcMar>
              <w:top w:type="dxa" w:w="100"/>
              <w:left w:type="dxa" w:w="120"/>
              <w:bottom w:type="dxa" w:w="100"/>
              <w:right w:type="dxa" w:w="120"/>
            </w:tcMar>
            <w:vAlign w:val="center"/>
          </w:tcPr>
          <w:p>
            <w:r>
              <w:rPr>
                <w:b/>
                <w:bCs/>
                <w:color w:val="FFFFFF"/>
                <w:sz w:val="20"/>
                <w:szCs w:val="20"/>
              </w:rPr>
              <w:t xml:space="preserve">Scope</w:t>
            </w:r>
          </w:p>
        </w:tc>
        <w:tc>
          <w:tcPr>
            <w:tcW w:type="dxa" w:w="1350"/>
            <w:shd w:fill="344E41" w:val="clear"/>
            <w:tcMar>
              <w:top w:type="dxa" w:w="100"/>
              <w:left w:type="dxa" w:w="120"/>
              <w:bottom w:type="dxa" w:w="100"/>
              <w:right w:type="dxa" w:w="120"/>
            </w:tcMar>
            <w:vAlign w:val="center"/>
          </w:tcPr>
          <w:p>
            <w:r>
              <w:rPr>
                <w:b/>
                <w:bCs/>
                <w:color w:val="FFFFFF"/>
                <w:sz w:val="20"/>
                <w:szCs w:val="20"/>
              </w:rPr>
              <w:t xml:space="preserve">Status</w:t>
            </w:r>
          </w:p>
        </w:tc>
      </w:tr>
      <w:tr>
        <w:tc>
          <w:tcPr>
            <w:tcW w:type="dxa" w:w="3000"/>
            <w:shd w:fill="FFFFFF" w:val="clear"/>
            <w:tcMar>
              <w:top w:type="dxa" w:w="100"/>
              <w:left w:type="dxa" w:w="120"/>
              <w:bottom w:type="dxa" w:w="100"/>
              <w:right w:type="dxa" w:w="120"/>
            </w:tcMar>
            <w:vAlign w:val="center"/>
          </w:tcPr>
          <w:p>
            <w:r>
              <w:rPr>
                <w:b w:val="false"/>
                <w:bCs w:val="false"/>
                <w:color w:val="2B2B26"/>
                <w:sz w:val="20"/>
                <w:szCs w:val="20"/>
              </w:rPr>
              <w:t xml:space="preserve">1 — Design Foundations</w:t>
            </w:r>
          </w:p>
        </w:tc>
        <w:tc>
          <w:tcPr>
            <w:tcW w:type="dxa" w:w="5000"/>
            <w:shd w:fill="FFFFFF" w:val="clear"/>
            <w:tcMar>
              <w:top w:type="dxa" w:w="100"/>
              <w:left w:type="dxa" w:w="120"/>
              <w:bottom w:type="dxa" w:w="100"/>
              <w:right w:type="dxa" w:w="120"/>
            </w:tcMar>
            <w:vAlign w:val="center"/>
          </w:tcPr>
          <w:p>
            <w:r>
              <w:rPr>
                <w:b w:val="false"/>
                <w:bCs w:val="false"/>
                <w:color w:val="2B2B26"/>
                <w:sz w:val="20"/>
                <w:szCs w:val="20"/>
              </w:rPr>
              <w:t xml:space="preserve">Principles, color, typography, spacing, elevation, motion, accessibility, naming, and governance. The tokens and rules everything else is built from.</w:t>
            </w:r>
          </w:p>
        </w:tc>
        <w:tc>
          <w:tcPr>
            <w:tcW w:type="dxa" w:w="1350"/>
            <w:shd w:fill="FFFFFF" w:val="clear"/>
            <w:tcMar>
              <w:top w:type="dxa" w:w="100"/>
              <w:left w:type="dxa" w:w="120"/>
              <w:bottom w:type="dxa" w:w="100"/>
              <w:right w:type="dxa" w:w="120"/>
            </w:tcMar>
            <w:vAlign w:val="center"/>
          </w:tcPr>
          <w:p>
            <w:r>
              <w:rPr>
                <w:b w:val="false"/>
                <w:bCs w:val="false"/>
                <w:color w:val="2B2B26"/>
                <w:sz w:val="20"/>
                <w:szCs w:val="20"/>
              </w:rPr>
              <w:t xml:space="preserve">This document</w:t>
            </w:r>
          </w:p>
        </w:tc>
      </w:tr>
      <w:tr>
        <w:tc>
          <w:tcPr>
            <w:tcW w:type="dxa" w:w="3000"/>
            <w:shd w:fill="F1EEE3" w:val="clear"/>
            <w:tcMar>
              <w:top w:type="dxa" w:w="100"/>
              <w:left w:type="dxa" w:w="120"/>
              <w:bottom w:type="dxa" w:w="100"/>
              <w:right w:type="dxa" w:w="120"/>
            </w:tcMar>
            <w:vAlign w:val="center"/>
          </w:tcPr>
          <w:p>
            <w:r>
              <w:rPr>
                <w:b w:val="false"/>
                <w:bCs w:val="false"/>
                <w:color w:val="2B2B26"/>
                <w:sz w:val="20"/>
                <w:szCs w:val="20"/>
              </w:rPr>
              <w:t xml:space="preserve">2 — Component Library</w:t>
            </w:r>
          </w:p>
        </w:tc>
        <w:tc>
          <w:tcPr>
            <w:tcW w:type="dxa" w:w="5000"/>
            <w:shd w:fill="F1EEE3" w:val="clear"/>
            <w:tcMar>
              <w:top w:type="dxa" w:w="100"/>
              <w:left w:type="dxa" w:w="120"/>
              <w:bottom w:type="dxa" w:w="100"/>
              <w:right w:type="dxa" w:w="120"/>
            </w:tcMar>
            <w:vAlign w:val="center"/>
          </w:tcPr>
          <w:p>
            <w:r>
              <w:rPr>
                <w:b w:val="false"/>
                <w:bCs w:val="false"/>
                <w:color w:val="2B2B26"/>
                <w:sz w:val="20"/>
                <w:szCs w:val="20"/>
              </w:rPr>
              <w:t xml:space="preserve">Every reusable UI component (buttons, forms, tables, cards, modals, navigation, notifications, loading states, status badges, etc.) with full state and usage specs.</w:t>
            </w:r>
          </w:p>
        </w:tc>
        <w:tc>
          <w:tcPr>
            <w:tcW w:type="dxa" w:w="1350"/>
            <w:shd w:fill="F1EEE3" w:val="clear"/>
            <w:tcMar>
              <w:top w:type="dxa" w:w="100"/>
              <w:left w:type="dxa" w:w="120"/>
              <w:bottom w:type="dxa" w:w="100"/>
              <w:right w:type="dxa" w:w="120"/>
            </w:tcMar>
            <w:vAlign w:val="center"/>
          </w:tcPr>
          <w:p>
            <w:r>
              <w:rPr>
                <w:b w:val="false"/>
                <w:bCs w:val="false"/>
                <w:color w:val="2B2B26"/>
                <w:sz w:val="20"/>
                <w:szCs w:val="20"/>
              </w:rPr>
              <w:t xml:space="preserve">Next — pending approval</w:t>
            </w:r>
          </w:p>
        </w:tc>
      </w:tr>
      <w:tr>
        <w:tc>
          <w:tcPr>
            <w:tcW w:type="dxa" w:w="3000"/>
            <w:shd w:fill="FFFFFF" w:val="clear"/>
            <w:tcMar>
              <w:top w:type="dxa" w:w="100"/>
              <w:left w:type="dxa" w:w="120"/>
              <w:bottom w:type="dxa" w:w="100"/>
              <w:right w:type="dxa" w:w="120"/>
            </w:tcMar>
            <w:vAlign w:val="center"/>
          </w:tcPr>
          <w:p>
            <w:r>
              <w:rPr>
                <w:b w:val="false"/>
                <w:bCs w:val="false"/>
                <w:color w:val="2B2B26"/>
                <w:sz w:val="20"/>
                <w:szCs w:val="20"/>
              </w:rPr>
              <w:t xml:space="preserve">3 — Patterns &amp; Workflows</w:t>
            </w:r>
          </w:p>
        </w:tc>
        <w:tc>
          <w:tcPr>
            <w:tcW w:type="dxa" w:w="5000"/>
            <w:shd w:fill="FFFFFF" w:val="clear"/>
            <w:tcMar>
              <w:top w:type="dxa" w:w="100"/>
              <w:left w:type="dxa" w:w="120"/>
              <w:bottom w:type="dxa" w:w="100"/>
              <w:right w:type="dxa" w:w="120"/>
            </w:tcMar>
            <w:vAlign w:val="center"/>
          </w:tcPr>
          <w:p>
            <w:r>
              <w:rPr>
                <w:b w:val="false"/>
                <w:bCs w:val="false"/>
                <w:color w:val="2B2B26"/>
                <w:sz w:val="20"/>
                <w:szCs w:val="20"/>
              </w:rPr>
              <w:t xml:space="preserve">Layouts, dashboards, workspaces, navigation architecture, search, data visualization, and the applied interaction decisions specific to BMS workflows (POS, authentication, payments, etc.).</w:t>
            </w:r>
          </w:p>
        </w:tc>
        <w:tc>
          <w:tcPr>
            <w:tcW w:type="dxa" w:w="1350"/>
            <w:shd w:fill="FFFFFF" w:val="clear"/>
            <w:tcMar>
              <w:top w:type="dxa" w:w="100"/>
              <w:left w:type="dxa" w:w="120"/>
              <w:bottom w:type="dxa" w:w="100"/>
              <w:right w:type="dxa" w:w="120"/>
            </w:tcMar>
            <w:vAlign w:val="center"/>
          </w:tcPr>
          <w:p>
            <w:r>
              <w:rPr>
                <w:b w:val="false"/>
                <w:bCs w:val="false"/>
                <w:color w:val="2B2B26"/>
                <w:sz w:val="20"/>
                <w:szCs w:val="20"/>
              </w:rPr>
              <w:t xml:space="preserve">Planned</w:t>
            </w:r>
          </w:p>
        </w:tc>
      </w:tr>
    </w:tbl>
    <w:p>
      <w:pPr>
        <w:pBdr>
          <w:left w:val="single" w:color="DDA15E" w:sz="18" w:space="8"/>
        </w:pBdr>
        <w:spacing w:after="200" w:before="80"/>
        <w:ind w:left="260"/>
      </w:pPr>
      <w:r>
        <w:rPr>
          <w:i/>
          <w:iCs/>
          <w:color w:val="6B7060"/>
          <w:sz w:val="20"/>
          <w:szCs w:val="20"/>
        </w:rPr>
        <w:t xml:space="preserve">This is Volume 1. It intentionally does not contain component specifications or workflow-specific decisions — those are the responsibility of Volumes 2 and 3, and will reference back to the tokens and principles defined here.</w:t>
      </w:r>
    </w:p>
    <w:p>
      <w:pPr>
        <w:pStyle w:val="Heading2"/>
        <w:spacing w:after="160" w:before="360"/>
      </w:pPr>
      <w:r>
        <w:rPr>
          <w:b/>
          <w:bCs/>
          <w:color w:val="344E41"/>
        </w:rPr>
        <w:t xml:space="preserve">1.2 Who This Is For</w:t>
      </w:r>
    </w:p>
    <w:p>
      <w:pPr>
        <w:pStyle w:val="ListParagraph"/>
        <w:numPr>
          <w:ilvl w:val="0"/>
          <w:numId w:val="2"/>
        </w:numPr>
        <w:spacing w:after="80"/>
      </w:pPr>
      <w:r>
        <w:rPr>
          <w:color w:val="2B2B26"/>
        </w:rPr>
        <w:t xml:space="preserve">Designers — as the reference for every token and principle when producing new Stitch passes.</w:t>
      </w:r>
    </w:p>
    <w:p>
      <w:pPr>
        <w:pStyle w:val="ListParagraph"/>
        <w:numPr>
          <w:ilvl w:val="0"/>
          <w:numId w:val="2"/>
        </w:numPr>
        <w:spacing w:after="80"/>
      </w:pPr>
      <w:r>
        <w:rPr>
          <w:color w:val="2B2B26"/>
        </w:rPr>
        <w:t xml:space="preserve">Developers — as the source for design tokens (color, spacing, type, motion) to implement in code.</w:t>
      </w:r>
    </w:p>
    <w:p>
      <w:pPr>
        <w:pStyle w:val="ListParagraph"/>
        <w:numPr>
          <w:ilvl w:val="0"/>
          <w:numId w:val="2"/>
        </w:numPr>
        <w:spacing w:after="80"/>
      </w:pPr>
      <w:r>
        <w:rPr>
          <w:color w:val="2B2B26"/>
        </w:rPr>
        <w:t xml:space="preserve">Reviewers — as the checklist against which new screens are evaluated before merge or sign-off.</w:t>
      </w:r>
    </w:p>
    <w:p>
      <w:pPr>
        <w:pStyle w:val="ListParagraph"/>
        <w:numPr>
          <w:ilvl w:val="0"/>
          <w:numId w:val="2"/>
        </w:numPr>
        <w:spacing w:after="80"/>
      </w:pPr>
      <w:r>
        <w:rPr>
          <w:color w:val="2B2B26"/>
        </w:rPr>
        <w:t xml:space="preserve">AI assistants — as grounding context so generated designs and code stay consistent without re-deriving decisions each time.</w:t>
      </w:r>
    </w:p>
    <w:p>
      <w:r>
        <w:br w:type="page"/>
      </w:r>
    </w:p>
    <w:p>
      <w:pPr>
        <w:pStyle w:val="Heading1"/>
        <w:spacing w:after="240" w:before="480"/>
      </w:pPr>
      <w:r>
        <w:rPr>
          <w:b/>
          <w:bCs/>
          <w:color w:val="344E41"/>
        </w:rPr>
        <w:t xml:space="preserve">2. Design Principles</w:t>
      </w:r>
    </w:p>
    <w:p>
      <w:pPr>
        <w:spacing w:after="160"/>
      </w:pPr>
      <w:r>
        <w:rPr>
          <w:i w:val="false"/>
          <w:iCs w:val="false"/>
          <w:color w:val="2B2B26"/>
        </w:rPr>
        <w:t xml:space="preserve">These seven principles are the foundation of the entire design system. Every token, component, and pattern in all three volumes should be traceable back to one or more of these principles. Where a proposed addition conflicts with a principle, the principle wins unless there is a documented, compelling usability reason to make an exception (see Section 7.3, Change Process).</w:t>
      </w:r>
    </w:p>
    <w:p>
      <w:pPr>
        <w:pStyle w:val="Heading3"/>
        <w:spacing w:after="120" w:before="240"/>
      </w:pPr>
      <w:r>
        <w:rPr>
          <w:b/>
          <w:bCs/>
          <w:color w:val="2B2B26"/>
        </w:rPr>
        <w:t xml:space="preserve">2.1. Quietly Competent</w:t>
      </w:r>
    </w:p>
    <w:p>
      <w:pPr>
        <w:spacing w:after="160"/>
      </w:pPr>
      <w:r>
        <w:rPr>
          <w:i w:val="false"/>
          <w:iCs w:val="false"/>
          <w:color w:val="2B2B26"/>
        </w:rPr>
        <w:t xml:space="preserve">The interface should feel calm, professional, and trustworthy. Avoid flashy UI and decorative effects. Visual design exists to support work, not to draw attention to itself.</w:t>
      </w:r>
    </w:p>
    <w:p>
      <w:pPr>
        <w:spacing w:after="80"/>
      </w:pPr>
      <w:r>
        <w:rPr>
          <w:b/>
          <w:bCs/>
          <w:color w:val="6B7060"/>
        </w:rPr>
        <w:t xml:space="preserve">Why: </w:t>
      </w:r>
      <w:r>
        <w:rPr>
          <w:i/>
          <w:iCs/>
          <w:color w:val="6B7060"/>
        </w:rPr>
        <w:t xml:space="preserve">Business owners and cashiers use this software for hours daily while handling money and inventory. A loud or trendy interface adds fatigue and erodes trust in a tool meant to feel dependable.</w:t>
      </w:r>
    </w:p>
    <w:p>
      <w:pPr>
        <w:spacing w:after="240"/>
      </w:pPr>
      <w:r>
        <w:rPr>
          <w:b/>
          <w:bCs/>
          <w:color w:val="6B7060"/>
          <w:sz w:val="20"/>
          <w:szCs w:val="20"/>
        </w:rPr>
        <w:t xml:space="preserve">Applied in: </w:t>
      </w:r>
      <w:r>
        <w:rPr>
          <w:i/>
          <w:iCs/>
          <w:color w:val="6B7060"/>
          <w:sz w:val="20"/>
          <w:szCs w:val="20"/>
        </w:rPr>
        <w:t xml:space="preserve">Color system (2.6), Elevation (3.4), Motion (3.6)</w:t>
      </w:r>
    </w:p>
    <w:p>
      <w:pPr>
        <w:pStyle w:val="Heading3"/>
        <w:spacing w:after="120" w:before="240"/>
      </w:pPr>
      <w:r>
        <w:rPr>
          <w:b/>
          <w:bCs/>
          <w:color w:val="2B2B26"/>
        </w:rPr>
        <w:t xml:space="preserve">2.2. Operational First</w:t>
      </w:r>
    </w:p>
    <w:p>
      <w:pPr>
        <w:spacing w:after="160"/>
      </w:pPr>
      <w:r>
        <w:rPr>
          <w:i w:val="false"/>
          <w:iCs w:val="false"/>
          <w:color w:val="2B2B26"/>
        </w:rPr>
        <w:t xml:space="preserve">Always optimize for completing tasks rather than displaying information. Every screen should make the next action obvious and fast.</w:t>
      </w:r>
    </w:p>
    <w:p>
      <w:pPr>
        <w:spacing w:after="80"/>
      </w:pPr>
      <w:r>
        <w:rPr>
          <w:b/>
          <w:bCs/>
          <w:color w:val="6B7060"/>
        </w:rPr>
        <w:t xml:space="preserve">Why: </w:t>
      </w:r>
      <w:r>
        <w:rPr>
          <w:i/>
          <w:iCs/>
          <w:color w:val="6B7060"/>
        </w:rPr>
        <w:t xml:space="preserve">Retail environments are time-pressured — a queue at the till, a stock check mid-delivery. Friction in the interface has a direct operational cost.</w:t>
      </w:r>
    </w:p>
    <w:p>
      <w:pPr>
        <w:spacing w:after="240"/>
      </w:pPr>
      <w:r>
        <w:rPr>
          <w:b/>
          <w:bCs/>
          <w:color w:val="6B7060"/>
          <w:sz w:val="20"/>
          <w:szCs w:val="20"/>
        </w:rPr>
        <w:t xml:space="preserve">Applied in: </w:t>
      </w:r>
      <w:r>
        <w:rPr>
          <w:i/>
          <w:iCs/>
          <w:color w:val="6B7060"/>
          <w:sz w:val="20"/>
          <w:szCs w:val="20"/>
        </w:rPr>
        <w:t xml:space="preserve">Component Library — buttons and forms (Vol. 2); Patterns &amp; Workflows — POS workspace (Vol. 3)</w:t>
      </w:r>
    </w:p>
    <w:p>
      <w:pPr>
        <w:pStyle w:val="Heading3"/>
        <w:spacing w:after="120" w:before="240"/>
      </w:pPr>
      <w:r>
        <w:rPr>
          <w:b/>
          <w:bCs/>
          <w:color w:val="2B2B26"/>
        </w:rPr>
        <w:t xml:space="preserve">2.3. Role-Oriented Design</w:t>
      </w:r>
    </w:p>
    <w:p>
      <w:pPr>
        <w:spacing w:after="160"/>
      </w:pPr>
      <w:r>
        <w:rPr>
          <w:i w:val="false"/>
          <w:iCs w:val="false"/>
          <w:color w:val="2B2B26"/>
        </w:rPr>
        <w:t xml:space="preserve">Each role sees only information relevant to its responsibilities. Owner, Manager, and Cashier should never share identical dashboards or navigation — this is a structural decision, not just a permissions layer on top of one shared view.</w:t>
      </w:r>
    </w:p>
    <w:p>
      <w:pPr>
        <w:spacing w:after="80"/>
      </w:pPr>
      <w:r>
        <w:rPr>
          <w:b/>
          <w:bCs/>
          <w:color w:val="6B7060"/>
        </w:rPr>
        <w:t xml:space="preserve">Why: </w:t>
      </w:r>
      <w:r>
        <w:rPr>
          <w:i/>
          <w:iCs/>
          <w:color w:val="6B7060"/>
        </w:rPr>
        <w:t xml:space="preserve">Reduces cognitive load and reinforces that each role has a distinct job to do. A Cashier does not need purchase-order approvals in view; an Owner does not need a live transaction cart.</w:t>
      </w:r>
    </w:p>
    <w:p>
      <w:pPr>
        <w:spacing w:after="240"/>
      </w:pPr>
      <w:r>
        <w:rPr>
          <w:b/>
          <w:bCs/>
          <w:color w:val="6B7060"/>
          <w:sz w:val="20"/>
          <w:szCs w:val="20"/>
        </w:rPr>
        <w:t xml:space="preserve">Applied in: </w:t>
      </w:r>
      <w:r>
        <w:rPr>
          <w:i/>
          <w:iCs/>
          <w:color w:val="6B7060"/>
          <w:sz w:val="20"/>
          <w:szCs w:val="20"/>
        </w:rPr>
        <w:t xml:space="preserve">Dashboard Guidelines and Navigation Architecture (Vol. 3)</w:t>
      </w:r>
    </w:p>
    <w:p>
      <w:pPr>
        <w:pStyle w:val="Heading3"/>
        <w:spacing w:after="120" w:before="240"/>
      </w:pPr>
      <w:r>
        <w:rPr>
          <w:b/>
          <w:bCs/>
          <w:color w:val="2B2B26"/>
        </w:rPr>
        <w:t xml:space="preserve">2.4. Progressive Disclosure</w:t>
      </w:r>
    </w:p>
    <w:p>
      <w:pPr>
        <w:spacing w:after="160"/>
      </w:pPr>
      <w:r>
        <w:rPr>
          <w:i w:val="false"/>
          <w:iCs w:val="false"/>
          <w:color w:val="2B2B26"/>
        </w:rPr>
        <w:t xml:space="preserve">Do not expose advanced functionality until it becomes relevant. Avoid overwhelming users, particularly on first use or in roles that touch a feature infrequently.</w:t>
      </w:r>
    </w:p>
    <w:p>
      <w:pPr>
        <w:spacing w:after="80"/>
      </w:pPr>
      <w:r>
        <w:rPr>
          <w:b/>
          <w:bCs/>
          <w:color w:val="6B7060"/>
        </w:rPr>
        <w:t xml:space="preserve">Why: </w:t>
      </w:r>
      <w:r>
        <w:rPr>
          <w:i/>
          <w:iCs/>
          <w:color w:val="6B7060"/>
        </w:rPr>
        <w:t xml:space="preserve">Many SME owners and staff are not full-time software users. Surfacing every option at once increases the chance of costly mistakes.</w:t>
      </w:r>
    </w:p>
    <w:p>
      <w:pPr>
        <w:spacing w:after="240"/>
      </w:pPr>
      <w:r>
        <w:rPr>
          <w:b/>
          <w:bCs/>
          <w:color w:val="6B7060"/>
          <w:sz w:val="20"/>
          <w:szCs w:val="20"/>
        </w:rPr>
        <w:t xml:space="preserve">Applied in: </w:t>
      </w:r>
      <w:r>
        <w:rPr>
          <w:i/>
          <w:iCs/>
          <w:color w:val="6B7060"/>
          <w:sz w:val="20"/>
          <w:szCs w:val="20"/>
        </w:rPr>
        <w:t xml:space="preserve">Forms (Vol. 2), Settings and onboarding flows (Vol. 3)</w:t>
      </w:r>
    </w:p>
    <w:p>
      <w:pPr>
        <w:pStyle w:val="Heading3"/>
        <w:spacing w:after="120" w:before="240"/>
      </w:pPr>
      <w:r>
        <w:rPr>
          <w:b/>
          <w:bCs/>
          <w:color w:val="2B2B26"/>
        </w:rPr>
        <w:t xml:space="preserve">2.5. Recognition Rather Than Recall</w:t>
      </w:r>
    </w:p>
    <w:p>
      <w:pPr>
        <w:spacing w:after="160"/>
      </w:pPr>
      <w:r>
        <w:rPr>
          <w:i w:val="false"/>
          <w:iCs w:val="false"/>
          <w:color w:val="2B2B26"/>
        </w:rPr>
        <w:t xml:space="preserve">Users should recognize available actions instead of remembering them. Surface frequently sold products, status badges, quick actions, and contextual menus instead of requiring users to recall a command or navigation path.</w:t>
      </w:r>
    </w:p>
    <w:p>
      <w:pPr>
        <w:spacing w:after="80"/>
      </w:pPr>
      <w:r>
        <w:rPr>
          <w:b/>
          <w:bCs/>
          <w:color w:val="6B7060"/>
        </w:rPr>
        <w:t xml:space="preserve">Why: </w:t>
      </w:r>
      <w:r>
        <w:rPr>
          <w:i/>
          <w:iCs/>
          <w:color w:val="6B7060"/>
        </w:rPr>
        <w:t xml:space="preserve">Under time pressure, recall fails faster than recognition. Visible, contextual options keep the interface usable even for infrequent users.</w:t>
      </w:r>
    </w:p>
    <w:p>
      <w:pPr>
        <w:spacing w:after="240"/>
      </w:pPr>
      <w:r>
        <w:rPr>
          <w:b/>
          <w:bCs/>
          <w:color w:val="6B7060"/>
          <w:sz w:val="20"/>
          <w:szCs w:val="20"/>
        </w:rPr>
        <w:t xml:space="preserve">Applied in: </w:t>
      </w:r>
      <w:r>
        <w:rPr>
          <w:i/>
          <w:iCs/>
          <w:color w:val="6B7060"/>
          <w:sz w:val="20"/>
          <w:szCs w:val="20"/>
        </w:rPr>
        <w:t xml:space="preserve">Command palette, contextual menus, quick actions (Vol. 2 and 3)</w:t>
      </w:r>
    </w:p>
    <w:p>
      <w:pPr>
        <w:pStyle w:val="Heading3"/>
        <w:spacing w:after="120" w:before="240"/>
      </w:pPr>
      <w:r>
        <w:rPr>
          <w:b/>
          <w:bCs/>
          <w:color w:val="2B2B26"/>
        </w:rPr>
        <w:t xml:space="preserve">2.6. Consistency Before Creativity</w:t>
      </w:r>
    </w:p>
    <w:p>
      <w:pPr>
        <w:spacing w:after="160"/>
      </w:pPr>
      <w:r>
        <w:rPr>
          <w:i w:val="false"/>
          <w:iCs w:val="false"/>
          <w:color w:val="2B2B26"/>
        </w:rPr>
        <w:t xml:space="preserve">Reuse existing interaction patterns. Do not invent new UI behaviours unnecessarily, even when a novel pattern seems locally appealing.</w:t>
      </w:r>
    </w:p>
    <w:p>
      <w:pPr>
        <w:spacing w:after="80"/>
      </w:pPr>
      <w:r>
        <w:rPr>
          <w:b/>
          <w:bCs/>
          <w:color w:val="6B7060"/>
        </w:rPr>
        <w:t xml:space="preserve">Why: </w:t>
      </w:r>
      <w:r>
        <w:rPr>
          <w:i/>
          <w:iCs/>
          <w:color w:val="6B7060"/>
        </w:rPr>
        <w:t xml:space="preserve">A new pattern must be learned once per user; a reused pattern is already known. Consistency compounds in value as the number of modules grows.</w:t>
      </w:r>
    </w:p>
    <w:p>
      <w:pPr>
        <w:spacing w:after="240"/>
      </w:pPr>
      <w:r>
        <w:rPr>
          <w:b/>
          <w:bCs/>
          <w:color w:val="6B7060"/>
          <w:sz w:val="20"/>
          <w:szCs w:val="20"/>
        </w:rPr>
        <w:t xml:space="preserve">Applied in: </w:t>
      </w:r>
      <w:r>
        <w:rPr>
          <w:i/>
          <w:iCs/>
          <w:color w:val="6B7060"/>
          <w:sz w:val="20"/>
          <w:szCs w:val="20"/>
        </w:rPr>
        <w:t xml:space="preserve">Component Library (Vol. 2) is the canonical set of reusable behaviours</w:t>
      </w:r>
    </w:p>
    <w:p>
      <w:pPr>
        <w:pStyle w:val="Heading3"/>
        <w:spacing w:after="120" w:before="240"/>
      </w:pPr>
      <w:r>
        <w:rPr>
          <w:b/>
          <w:bCs/>
          <w:color w:val="2B2B26"/>
        </w:rPr>
        <w:t xml:space="preserve">2.7. High Information, Low Clutter</w:t>
      </w:r>
    </w:p>
    <w:p>
      <w:pPr>
        <w:spacing w:after="160"/>
      </w:pPr>
      <w:r>
        <w:rPr>
          <w:i w:val="false"/>
          <w:iCs w:val="false"/>
          <w:color w:val="2B2B26"/>
        </w:rPr>
        <w:t xml:space="preserve">The application manages complex business operations. Present information clearly without making the interface feel busy — density and clarity are not in conflict if hierarchy is used well.</w:t>
      </w:r>
    </w:p>
    <w:p>
      <w:pPr>
        <w:spacing w:after="80"/>
      </w:pPr>
      <w:r>
        <w:rPr>
          <w:b/>
          <w:bCs/>
          <w:color w:val="6B7060"/>
        </w:rPr>
        <w:t xml:space="preserve">Why: </w:t>
      </w:r>
      <w:r>
        <w:rPr>
          <w:i/>
          <w:iCs/>
          <w:color w:val="6B7060"/>
        </w:rPr>
        <w:t xml:space="preserve">Retail and inventory data is inherently dense. The interface's job is to organize that density, not to hide it or let it overwhelm.</w:t>
      </w:r>
    </w:p>
    <w:p>
      <w:pPr>
        <w:spacing w:after="240"/>
      </w:pPr>
      <w:r>
        <w:rPr>
          <w:b/>
          <w:bCs/>
          <w:color w:val="6B7060"/>
          <w:sz w:val="20"/>
          <w:szCs w:val="20"/>
        </w:rPr>
        <w:t xml:space="preserve">Applied in: </w:t>
      </w:r>
      <w:r>
        <w:rPr>
          <w:i/>
          <w:iCs/>
          <w:color w:val="6B7060"/>
          <w:sz w:val="20"/>
          <w:szCs w:val="20"/>
        </w:rPr>
        <w:t xml:space="preserve">Typography (3.2), Data Tables and Dashboards (Vol. 2 and 3)</w:t>
      </w:r>
    </w:p>
    <w:p>
      <w:r>
        <w:br w:type="page"/>
      </w:r>
    </w:p>
    <w:p>
      <w:pPr>
        <w:pStyle w:val="Heading1"/>
        <w:spacing w:after="240" w:before="480"/>
      </w:pPr>
      <w:r>
        <w:rPr>
          <w:b/>
          <w:bCs/>
          <w:color w:val="344E41"/>
        </w:rPr>
        <w:t xml:space="preserve">3. Foundations</w:t>
      </w:r>
    </w:p>
    <w:p>
      <w:pPr>
        <w:pStyle w:val="Heading2"/>
        <w:spacing w:after="160" w:before="360"/>
      </w:pPr>
      <w:r>
        <w:rPr>
          <w:b/>
          <w:bCs/>
          <w:color w:val="344E41"/>
        </w:rPr>
        <w:t xml:space="preserve">3.1 Color System</w:t>
      </w:r>
    </w:p>
    <w:p>
      <w:pPr>
        <w:spacing w:after="160"/>
      </w:pPr>
      <w:r>
        <w:rPr>
          <w:i w:val="false"/>
          <w:iCs w:val="false"/>
          <w:color w:val="2B2B26"/>
        </w:rPr>
        <w:t xml:space="preserve">The palette is warm, flat, and enterprise-appropriate, referencing Shopify Admin, Linear, and QuickBooks. It avoids gradients, heavy skeuomorphism, and saturated color as decoration — color is reserved for meaning, in direct service of the Quietly Competent principle.</w:t>
      </w:r>
    </w:p>
    <w:p>
      <w:pPr>
        <w:pStyle w:val="Heading3"/>
        <w:spacing w:after="120" w:before="240"/>
      </w:pPr>
      <w:r>
        <w:rPr>
          <w:b/>
          <w:bCs/>
          <w:color w:val="2B2B26"/>
        </w:rPr>
        <w:t xml:space="preserve">Brand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50"/>
        <w:gridCol w:w="2200"/>
      </w:tblGrid>
      <w:tr>
        <w:trPr>
          <w:tblHeader/>
        </w:trPr>
        <w:tc>
          <w:tcPr>
            <w:tcW w:type="dxa" w:w="1400"/>
            <w:shd w:fill="344E41" w:val="clear"/>
            <w:tcMar>
              <w:top w:type="dxa" w:w="100"/>
              <w:left w:type="dxa" w:w="120"/>
              <w:bottom w:type="dxa" w:w="100"/>
              <w:right w:type="dxa" w:w="120"/>
            </w:tcMar>
            <w:vAlign w:val="center"/>
          </w:tcPr>
          <w:p>
            <w:r>
              <w:rPr>
                <w:b/>
                <w:bCs/>
                <w:color w:val="FFFFFF"/>
                <w:sz w:val="20"/>
                <w:szCs w:val="20"/>
              </w:rPr>
              <w:t xml:space="preserve">Swatch</w:t>
            </w:r>
          </w:p>
        </w:tc>
        <w:tc>
          <w:tcPr>
            <w:tcW w:type="dxa" w:w="2200"/>
            <w:shd w:fill="344E41" w:val="clear"/>
            <w:tcMar>
              <w:top w:type="dxa" w:w="100"/>
              <w:left w:type="dxa" w:w="120"/>
              <w:bottom w:type="dxa" w:w="100"/>
              <w:right w:type="dxa" w:w="120"/>
            </w:tcMar>
            <w:vAlign w:val="center"/>
          </w:tcPr>
          <w:p>
            <w:r>
              <w:rPr>
                <w:b/>
                <w:bCs/>
                <w:color w:val="FFFFFF"/>
                <w:sz w:val="20"/>
                <w:szCs w:val="20"/>
              </w:rPr>
              <w:t xml:space="preserve">Token</w:t>
            </w:r>
          </w:p>
        </w:tc>
        <w:tc>
          <w:tcPr>
            <w:tcW w:type="dxa" w:w="3550"/>
            <w:shd w:fill="344E41" w:val="clear"/>
            <w:tcMar>
              <w:top w:type="dxa" w:w="100"/>
              <w:left w:type="dxa" w:w="120"/>
              <w:bottom w:type="dxa" w:w="100"/>
              <w:right w:type="dxa" w:w="120"/>
            </w:tcMar>
            <w:vAlign w:val="center"/>
          </w:tcPr>
          <w:p>
            <w:r>
              <w:rPr>
                <w:b/>
                <w:bCs/>
                <w:color w:val="FFFFFF"/>
                <w:sz w:val="20"/>
                <w:szCs w:val="20"/>
              </w:rPr>
              <w:t xml:space="preserve">Usage</w:t>
            </w:r>
          </w:p>
        </w:tc>
        <w:tc>
          <w:tcPr>
            <w:tcW w:type="dxa" w:w="2200"/>
            <w:shd w:fill="344E41" w:val="clear"/>
            <w:tcMar>
              <w:top w:type="dxa" w:w="100"/>
              <w:left w:type="dxa" w:w="120"/>
              <w:bottom w:type="dxa" w:w="100"/>
              <w:right w:type="dxa" w:w="120"/>
            </w:tcMar>
            <w:vAlign w:val="center"/>
          </w:tcPr>
          <w:p>
            <w:r>
              <w:rPr>
                <w:b/>
                <w:bCs/>
                <w:color w:val="FFFFFF"/>
                <w:sz w:val="20"/>
                <w:szCs w:val="20"/>
              </w:rPr>
              <w:t xml:space="preserve">Hex</w:t>
            </w:r>
          </w:p>
        </w:tc>
      </w:tr>
      <w:tr>
        <w:tc>
          <w:tcPr>
            <w:tcW w:type="dxa" w:w="1400"/>
            <w:shd w:fill="344E41" w:val="clear"/>
            <w:tcMar>
              <w:top w:type="dxa" w:w="200"/>
              <w:left w:type="dxa" w:w="120"/>
              <w:bottom w:type="dxa" w:w="200"/>
              <w:right w:type="dxa" w:w="120"/>
            </w:tcMar>
          </w:tcPr>
          <w:p>
            <w:r>
              <w:t xml:space="preserve"/>
            </w:r>
          </w:p>
        </w:tc>
        <w:tc>
          <w:tcPr>
            <w:tcW w:type="dxa" w:w="2200"/>
            <w:tcMar>
              <w:top w:type="dxa" w:w="100"/>
              <w:left w:type="dxa" w:w="120"/>
              <w:bottom w:type="dxa" w:w="100"/>
              <w:right w:type="dxa" w:w="120"/>
            </w:tcMar>
            <w:vAlign w:val="center"/>
          </w:tcPr>
          <w:p>
            <w:r>
              <w:rPr>
                <w:b/>
                <w:bCs/>
                <w:color w:val="2B2B26"/>
                <w:sz w:val="20"/>
                <w:szCs w:val="20"/>
              </w:rPr>
              <w:t xml:space="preserve">Primary</w:t>
            </w:r>
          </w:p>
        </w:tc>
        <w:tc>
          <w:tcPr>
            <w:tcW w:type="dxa" w:w="3550"/>
            <w:tcMar>
              <w:top w:type="dxa" w:w="100"/>
              <w:left w:type="dxa" w:w="120"/>
              <w:bottom w:type="dxa" w:w="100"/>
              <w:right w:type="dxa" w:w="120"/>
            </w:tcMar>
            <w:vAlign w:val="center"/>
          </w:tcPr>
          <w:p>
            <w:r>
              <w:rPr>
                <w:b w:val="false"/>
                <w:bCs w:val="false"/>
                <w:color w:val="2B2B26"/>
                <w:sz w:val="20"/>
                <w:szCs w:val="20"/>
              </w:rPr>
              <w:t xml:space="preserve">Primary actions, active nav, headings, key brand moments</w:t>
            </w:r>
          </w:p>
        </w:tc>
        <w:tc>
          <w:tcPr>
            <w:tcW w:type="dxa" w:w="2200"/>
            <w:tcMar>
              <w:top w:type="dxa" w:w="100"/>
              <w:left w:type="dxa" w:w="120"/>
              <w:bottom w:type="dxa" w:w="100"/>
              <w:right w:type="dxa" w:w="120"/>
            </w:tcMar>
            <w:vAlign w:val="center"/>
          </w:tcPr>
          <w:p>
            <w:r>
              <w:rPr>
                <w:b w:val="false"/>
                <w:bCs w:val="false"/>
                <w:color w:val="2B2B26"/>
                <w:sz w:val="20"/>
                <w:szCs w:val="20"/>
              </w:rPr>
              <w:t xml:space="preserve">#344E41</w:t>
            </w:r>
          </w:p>
        </w:tc>
      </w:tr>
      <w:tr>
        <w:tc>
          <w:tcPr>
            <w:tcW w:type="dxa" w:w="1400"/>
            <w:shd w:fill="A3B18A" w:val="clear"/>
            <w:tcMar>
              <w:top w:type="dxa" w:w="200"/>
              <w:left w:type="dxa" w:w="120"/>
              <w:bottom w:type="dxa" w:w="200"/>
              <w:right w:type="dxa" w:w="120"/>
            </w:tcMar>
          </w:tcPr>
          <w:p>
            <w:r>
              <w:t xml:space="preserve"/>
            </w:r>
          </w:p>
        </w:tc>
        <w:tc>
          <w:tcPr>
            <w:tcW w:type="dxa" w:w="2200"/>
            <w:shd w:fill="F1EEE3" w:val="clear"/>
            <w:tcMar>
              <w:top w:type="dxa" w:w="100"/>
              <w:left w:type="dxa" w:w="120"/>
              <w:bottom w:type="dxa" w:w="100"/>
              <w:right w:type="dxa" w:w="120"/>
            </w:tcMar>
            <w:vAlign w:val="center"/>
          </w:tcPr>
          <w:p>
            <w:r>
              <w:rPr>
                <w:b/>
                <w:bCs/>
                <w:color w:val="2B2B26"/>
                <w:sz w:val="20"/>
                <w:szCs w:val="20"/>
              </w:rPr>
              <w:t xml:space="preserve">Secondary</w:t>
            </w:r>
          </w:p>
        </w:tc>
        <w:tc>
          <w:tcPr>
            <w:tcW w:type="dxa" w:w="3550"/>
            <w:shd w:fill="F1EEE3" w:val="clear"/>
            <w:tcMar>
              <w:top w:type="dxa" w:w="100"/>
              <w:left w:type="dxa" w:w="120"/>
              <w:bottom w:type="dxa" w:w="100"/>
              <w:right w:type="dxa" w:w="120"/>
            </w:tcMar>
            <w:vAlign w:val="center"/>
          </w:tcPr>
          <w:p>
            <w:r>
              <w:rPr>
                <w:b w:val="false"/>
                <w:bCs w:val="false"/>
                <w:color w:val="2B2B26"/>
                <w:sz w:val="20"/>
                <w:szCs w:val="20"/>
              </w:rPr>
              <w:t xml:space="preserve">Supporting UI, secondary buttons, tag backgrounds</w:t>
            </w:r>
          </w:p>
        </w:tc>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#A3B18A</w:t>
            </w:r>
          </w:p>
        </w:tc>
      </w:tr>
      <w:tr>
        <w:tc>
          <w:tcPr>
            <w:tcW w:type="dxa" w:w="1400"/>
            <w:shd w:fill="DDA15E" w:val="clear"/>
            <w:tcMar>
              <w:top w:type="dxa" w:w="200"/>
              <w:left w:type="dxa" w:w="120"/>
              <w:bottom w:type="dxa" w:w="200"/>
              <w:right w:type="dxa" w:w="120"/>
            </w:tcMar>
          </w:tcPr>
          <w:p>
            <w:r>
              <w:t xml:space="preserve"/>
            </w:r>
          </w:p>
        </w:tc>
        <w:tc>
          <w:tcPr>
            <w:tcW w:type="dxa" w:w="2200"/>
            <w:tcMar>
              <w:top w:type="dxa" w:w="100"/>
              <w:left w:type="dxa" w:w="120"/>
              <w:bottom w:type="dxa" w:w="100"/>
              <w:right w:type="dxa" w:w="120"/>
            </w:tcMar>
            <w:vAlign w:val="center"/>
          </w:tcPr>
          <w:p>
            <w:r>
              <w:rPr>
                <w:b/>
                <w:bCs/>
                <w:color w:val="2B2B26"/>
                <w:sz w:val="20"/>
                <w:szCs w:val="20"/>
              </w:rPr>
              <w:t xml:space="preserve">Accent</w:t>
            </w:r>
          </w:p>
        </w:tc>
        <w:tc>
          <w:tcPr>
            <w:tcW w:type="dxa" w:w="3550"/>
            <w:tcMar>
              <w:top w:type="dxa" w:w="100"/>
              <w:left w:type="dxa" w:w="120"/>
              <w:bottom w:type="dxa" w:w="100"/>
              <w:right w:type="dxa" w:w="120"/>
            </w:tcMar>
            <w:vAlign w:val="center"/>
          </w:tcPr>
          <w:p>
            <w:r>
              <w:rPr>
                <w:b w:val="false"/>
                <w:bCs w:val="false"/>
                <w:color w:val="2B2B26"/>
                <w:sz w:val="20"/>
                <w:szCs w:val="20"/>
              </w:rPr>
              <w:t xml:space="preserve">Highlights, promotional callouts, sparing emphasis</w:t>
            </w:r>
          </w:p>
        </w:tc>
        <w:tc>
          <w:tcPr>
            <w:tcW w:type="dxa" w:w="2200"/>
            <w:tcMar>
              <w:top w:type="dxa" w:w="100"/>
              <w:left w:type="dxa" w:w="120"/>
              <w:bottom w:type="dxa" w:w="100"/>
              <w:right w:type="dxa" w:w="120"/>
            </w:tcMar>
            <w:vAlign w:val="center"/>
          </w:tcPr>
          <w:p>
            <w:r>
              <w:rPr>
                <w:b w:val="false"/>
                <w:bCs w:val="false"/>
                <w:color w:val="2B2B26"/>
                <w:sz w:val="20"/>
                <w:szCs w:val="20"/>
              </w:rPr>
              <w:t xml:space="preserve">#DDA15E</w:t>
            </w:r>
          </w:p>
        </w:tc>
      </w:tr>
      <w:tr>
        <w:tc>
          <w:tcPr>
            <w:tcW w:type="dxa" w:w="1400"/>
            <w:shd w:fill="F7F4EC" w:val="clear"/>
            <w:tcMar>
              <w:top w:type="dxa" w:w="200"/>
              <w:left w:type="dxa" w:w="120"/>
              <w:bottom w:type="dxa" w:w="200"/>
              <w:right w:type="dxa" w:w="120"/>
            </w:tcMar>
          </w:tcPr>
          <w:p>
            <w:r>
              <w:t xml:space="preserve"/>
            </w:r>
          </w:p>
        </w:tc>
        <w:tc>
          <w:tcPr>
            <w:tcW w:type="dxa" w:w="2200"/>
            <w:shd w:fill="F1EEE3" w:val="clear"/>
            <w:tcMar>
              <w:top w:type="dxa" w:w="100"/>
              <w:left w:type="dxa" w:w="120"/>
              <w:bottom w:type="dxa" w:w="100"/>
              <w:right w:type="dxa" w:w="120"/>
            </w:tcMar>
            <w:vAlign w:val="center"/>
          </w:tcPr>
          <w:p>
            <w:r>
              <w:rPr>
                <w:b/>
                <w:bCs/>
                <w:color w:val="2B2B26"/>
                <w:sz w:val="20"/>
                <w:szCs w:val="20"/>
              </w:rPr>
              <w:t xml:space="preserve">Background</w:t>
            </w:r>
          </w:p>
        </w:tc>
        <w:tc>
          <w:tcPr>
            <w:tcW w:type="dxa" w:w="3550"/>
            <w:shd w:fill="F1EEE3" w:val="clear"/>
            <w:tcMar>
              <w:top w:type="dxa" w:w="100"/>
              <w:left w:type="dxa" w:w="120"/>
              <w:bottom w:type="dxa" w:w="100"/>
              <w:right w:type="dxa" w:w="120"/>
            </w:tcMar>
            <w:vAlign w:val="center"/>
          </w:tcPr>
          <w:p>
            <w:r>
              <w:rPr>
                <w:b w:val="false"/>
                <w:bCs w:val="false"/>
                <w:color w:val="2B2B26"/>
                <w:sz w:val="20"/>
                <w:szCs w:val="20"/>
              </w:rPr>
              <w:t xml:space="preserve">App canvas / page background</w:t>
            </w:r>
          </w:p>
        </w:tc>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#F7F4EC</w:t>
            </w:r>
          </w:p>
        </w:tc>
      </w:tr>
      <w:tr>
        <w:tc>
          <w:tcPr>
            <w:tcW w:type="dxa" w:w="1400"/>
            <w:shd w:fill="FFFFFF" w:val="clear"/>
            <w:tcMar>
              <w:top w:type="dxa" w:w="200"/>
              <w:left w:type="dxa" w:w="120"/>
              <w:bottom w:type="dxa" w:w="200"/>
              <w:right w:type="dxa" w:w="120"/>
            </w:tcMar>
          </w:tcPr>
          <w:p>
            <w:r>
              <w:t xml:space="preserve"/>
            </w:r>
          </w:p>
        </w:tc>
        <w:tc>
          <w:tcPr>
            <w:tcW w:type="dxa" w:w="2200"/>
            <w:tcMar>
              <w:top w:type="dxa" w:w="100"/>
              <w:left w:type="dxa" w:w="120"/>
              <w:bottom w:type="dxa" w:w="100"/>
              <w:right w:type="dxa" w:w="120"/>
            </w:tcMar>
            <w:vAlign w:val="center"/>
          </w:tcPr>
          <w:p>
            <w:r>
              <w:rPr>
                <w:b/>
                <w:bCs/>
                <w:color w:val="2B2B26"/>
                <w:sz w:val="20"/>
                <w:szCs w:val="20"/>
              </w:rPr>
              <w:t xml:space="preserve">Surface</w:t>
            </w:r>
          </w:p>
        </w:tc>
        <w:tc>
          <w:tcPr>
            <w:tcW w:type="dxa" w:w="3550"/>
            <w:tcMar>
              <w:top w:type="dxa" w:w="100"/>
              <w:left w:type="dxa" w:w="120"/>
              <w:bottom w:type="dxa" w:w="100"/>
              <w:right w:type="dxa" w:w="120"/>
            </w:tcMar>
            <w:vAlign w:val="center"/>
          </w:tcPr>
          <w:p>
            <w:r>
              <w:rPr>
                <w:b w:val="false"/>
                <w:bCs w:val="false"/>
                <w:color w:val="2B2B26"/>
                <w:sz w:val="20"/>
                <w:szCs w:val="20"/>
              </w:rPr>
              <w:t xml:space="preserve">Cards, panels, modals, table rows</w:t>
            </w:r>
          </w:p>
        </w:tc>
        <w:tc>
          <w:tcPr>
            <w:tcW w:type="dxa" w:w="2200"/>
            <w:tcMar>
              <w:top w:type="dxa" w:w="100"/>
              <w:left w:type="dxa" w:w="120"/>
              <w:bottom w:type="dxa" w:w="100"/>
              <w:right w:type="dxa" w:w="120"/>
            </w:tcMar>
            <w:vAlign w:val="center"/>
          </w:tcPr>
          <w:p>
            <w:r>
              <w:rPr>
                <w:b w:val="false"/>
                <w:bCs w:val="false"/>
                <w:color w:val="2B2B26"/>
                <w:sz w:val="20"/>
                <w:szCs w:val="20"/>
              </w:rPr>
              <w:t xml:space="preserve">#FFFFFF</w:t>
            </w:r>
          </w:p>
        </w:tc>
      </w:tr>
    </w:tbl>
    <w:p>
      <w:pPr>
        <w:pStyle w:val="Heading3"/>
        <w:spacing w:after="120" w:before="240"/>
      </w:pPr>
      <w:r>
        <w:rPr>
          <w:b/>
          <w:bCs/>
          <w:color w:val="2B2B26"/>
        </w:rPr>
        <w:t xml:space="preserve">Semantic colors</w:t>
      </w:r>
    </w:p>
    <w:p>
      <w:pPr>
        <w:spacing w:after="160"/>
      </w:pPr>
      <w:r>
        <w:rPr>
          <w:i w:val="false"/>
          <w:iCs w:val="false"/>
          <w:color w:val="2B2B26"/>
        </w:rPr>
        <w:t xml:space="preserve">Semantic tokens map to system feedback and must never be substituted with brand colors, even if the hue is close. This is the same fixed set of four tokens referenced throughout the Status Color Framework (Section 6) and every status vocabulary defined in Volume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150"/>
        <w:gridCol w:w="2000"/>
      </w:tblGrid>
      <w:tr>
        <w:trPr>
          <w:tblHeader/>
        </w:trPr>
        <w:tc>
          <w:tcPr>
            <w:tcW w:type="dxa" w:w="2200"/>
            <w:shd w:fill="344E41" w:val="clear"/>
            <w:tcMar>
              <w:top w:type="dxa" w:w="100"/>
              <w:left w:type="dxa" w:w="120"/>
              <w:bottom w:type="dxa" w:w="100"/>
              <w:right w:type="dxa" w:w="120"/>
            </w:tcMar>
            <w:vAlign w:val="center"/>
          </w:tcPr>
          <w:p>
            <w:r>
              <w:rPr>
                <w:b/>
                <w:bCs/>
                <w:color w:val="FFFFFF"/>
                <w:sz w:val="20"/>
                <w:szCs w:val="20"/>
              </w:rPr>
              <w:t xml:space="preserve">Token</w:t>
            </w:r>
          </w:p>
        </w:tc>
        <w:tc>
          <w:tcPr>
            <w:tcW w:type="dxa" w:w="5150"/>
            <w:shd w:fill="344E41" w:val="clear"/>
            <w:tcMar>
              <w:top w:type="dxa" w:w="100"/>
              <w:left w:type="dxa" w:w="120"/>
              <w:bottom w:type="dxa" w:w="100"/>
              <w:right w:type="dxa" w:w="120"/>
            </w:tcMar>
            <w:vAlign w:val="center"/>
          </w:tcPr>
          <w:p>
            <w:r>
              <w:rPr>
                <w:b/>
                <w:bCs/>
                <w:color w:val="FFFFFF"/>
                <w:sz w:val="20"/>
                <w:szCs w:val="20"/>
              </w:rPr>
              <w:t xml:space="preserve">General meaning</w:t>
            </w:r>
          </w:p>
        </w:tc>
        <w:tc>
          <w:tcPr>
            <w:tcW w:type="dxa" w:w="2000"/>
            <w:shd w:fill="344E41" w:val="clear"/>
            <w:tcMar>
              <w:top w:type="dxa" w:w="100"/>
              <w:left w:type="dxa" w:w="120"/>
              <w:bottom w:type="dxa" w:w="100"/>
              <w:right w:type="dxa" w:w="120"/>
            </w:tcMar>
            <w:vAlign w:val="center"/>
          </w:tcPr>
          <w:p>
            <w:r>
              <w:rPr>
                <w:b/>
                <w:bCs/>
                <w:color w:val="FFFFFF"/>
                <w:sz w:val="20"/>
                <w:szCs w:val="20"/>
              </w:rPr>
              <w:t xml:space="preserve">Hex</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Success</w:t>
            </w:r>
          </w:p>
        </w:tc>
        <w:tc>
          <w:tcPr>
            <w:tcW w:type="dxa" w:w="5150"/>
            <w:shd w:fill="FFFFFF" w:val="clear"/>
            <w:tcMar>
              <w:top w:type="dxa" w:w="100"/>
              <w:left w:type="dxa" w:w="120"/>
              <w:bottom w:type="dxa" w:w="100"/>
              <w:right w:type="dxa" w:w="120"/>
            </w:tcMar>
            <w:vAlign w:val="center"/>
          </w:tcPr>
          <w:p>
            <w:r>
              <w:rPr>
                <w:b w:val="false"/>
                <w:bCs w:val="false"/>
                <w:color w:val="2B2B26"/>
                <w:sz w:val="20"/>
                <w:szCs w:val="20"/>
              </w:rPr>
              <w:t xml:space="preserve">Completed, confirmed, healthy</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#3F7D52</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Warning</w:t>
            </w:r>
          </w:p>
        </w:tc>
        <w:tc>
          <w:tcPr>
            <w:tcW w:type="dxa" w:w="5150"/>
            <w:shd w:fill="F1EEE3" w:val="clear"/>
            <w:tcMar>
              <w:top w:type="dxa" w:w="100"/>
              <w:left w:type="dxa" w:w="120"/>
              <w:bottom w:type="dxa" w:w="100"/>
              <w:right w:type="dxa" w:w="120"/>
            </w:tcMar>
            <w:vAlign w:val="center"/>
          </w:tcPr>
          <w:p>
            <w:r>
              <w:rPr>
                <w:b w:val="false"/>
                <w:bCs w:val="false"/>
                <w:color w:val="2B2B26"/>
                <w:sz w:val="20"/>
                <w:szCs w:val="20"/>
              </w:rPr>
              <w:t xml:space="preserve">Needs attention soon, approaching a limit</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#B5842A</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Error</w:t>
            </w:r>
          </w:p>
        </w:tc>
        <w:tc>
          <w:tcPr>
            <w:tcW w:type="dxa" w:w="5150"/>
            <w:shd w:fill="FFFFFF" w:val="clear"/>
            <w:tcMar>
              <w:top w:type="dxa" w:w="100"/>
              <w:left w:type="dxa" w:w="120"/>
              <w:bottom w:type="dxa" w:w="100"/>
              <w:right w:type="dxa" w:w="120"/>
            </w:tcMar>
            <w:vAlign w:val="center"/>
          </w:tcPr>
          <w:p>
            <w:r>
              <w:rPr>
                <w:b w:val="false"/>
                <w:bCs w:val="false"/>
                <w:color w:val="2B2B26"/>
                <w:sz w:val="20"/>
                <w:szCs w:val="20"/>
              </w:rPr>
              <w:t xml:space="preserve">Failed, blocked, needs immediate action</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#AA3B3B</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Info</w:t>
            </w:r>
          </w:p>
        </w:tc>
        <w:tc>
          <w:tcPr>
            <w:tcW w:type="dxa" w:w="5150"/>
            <w:shd w:fill="F1EEE3" w:val="clear"/>
            <w:tcMar>
              <w:top w:type="dxa" w:w="100"/>
              <w:left w:type="dxa" w:w="120"/>
              <w:bottom w:type="dxa" w:w="100"/>
              <w:right w:type="dxa" w:w="120"/>
            </w:tcMar>
            <w:vAlign w:val="center"/>
          </w:tcPr>
          <w:p>
            <w:r>
              <w:rPr>
                <w:b w:val="false"/>
                <w:bCs w:val="false"/>
                <w:color w:val="2B2B26"/>
                <w:sz w:val="20"/>
                <w:szCs w:val="20"/>
              </w:rPr>
              <w:t xml:space="preserve">Neutral system message, no action required</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#3A6EA5</w:t>
            </w:r>
          </w:p>
        </w:tc>
      </w:tr>
    </w:tbl>
    <w:p>
      <w:pPr>
        <w:pStyle w:val="Heading3"/>
        <w:spacing w:after="120" w:before="240"/>
      </w:pPr>
      <w:r>
        <w:rPr>
          <w:b/>
          <w:bCs/>
          <w:color w:val="2B2B26"/>
        </w:rPr>
        <w:t xml:space="preserve">Contrast &amp; accessibility</w:t>
      </w:r>
    </w:p>
    <w:p>
      <w:pPr>
        <w:pStyle w:val="ListParagraph"/>
        <w:numPr>
          <w:ilvl w:val="0"/>
          <w:numId w:val="2"/>
        </w:numPr>
        <w:spacing w:after="80"/>
      </w:pPr>
      <w:r>
        <w:rPr>
          <w:color w:val="2B2B26"/>
        </w:rPr>
        <w:t xml:space="preserve">Body text on background or surface must meet at least WCAG AA (4.5:1) contrast.</w:t>
      </w:r>
    </w:p>
    <w:p>
      <w:pPr>
        <w:pStyle w:val="ListParagraph"/>
        <w:numPr>
          <w:ilvl w:val="0"/>
          <w:numId w:val="2"/>
        </w:numPr>
        <w:spacing w:after="80"/>
      </w:pPr>
      <w:r>
        <w:rPr>
          <w:color w:val="2B2B26"/>
        </w:rPr>
        <w:t xml:space="preserve">Accent (#DDA15E) is not used for body text on white or background — it fails contrast; reserve it for large text, icons, or fills with dark text on top.</w:t>
      </w:r>
    </w:p>
    <w:p>
      <w:pPr>
        <w:pStyle w:val="ListParagraph"/>
        <w:numPr>
          <w:ilvl w:val="0"/>
          <w:numId w:val="2"/>
        </w:numPr>
        <w:spacing w:after="80"/>
      </w:pPr>
      <w:r>
        <w:rPr>
          <w:color w:val="2B2B26"/>
        </w:rPr>
        <w:t xml:space="preserve">Never convey status by color alone — pair semantic color with an icon or label (expanded in Section 4.1).</w:t>
      </w:r>
    </w:p>
    <w:p>
      <w:pPr>
        <w:pStyle w:val="Heading2"/>
        <w:spacing w:after="160" w:before="360"/>
      </w:pPr>
      <w:r>
        <w:rPr>
          <w:b/>
          <w:bCs/>
          <w:color w:val="344E41"/>
        </w:rPr>
        <w:t xml:space="preserve">3.2 Typography</w:t>
      </w:r>
    </w:p>
    <w:p>
      <w:pPr>
        <w:spacing w:after="160"/>
      </w:pPr>
      <w:r>
        <w:rPr>
          <w:i w:val="false"/>
          <w:iCs w:val="false"/>
          <w:color w:val="2B2B26"/>
        </w:rPr>
        <w:t xml:space="preserve">A single type family keeps the interface calm and legible across dense data screens (POS, tables) and lighter marketing-style pages (Settings, onboarding), in service of High Information, Low Clutter.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50"/>
      </w:tblGrid>
      <w:tr>
        <w:trPr>
          <w:tblHeader/>
        </w:trPr>
        <w:tc>
          <w:tcPr>
            <w:tcW w:type="dxa" w:w="2200"/>
            <w:shd w:fill="344E41" w:val="clear"/>
            <w:tcMar>
              <w:top w:type="dxa" w:w="100"/>
              <w:left w:type="dxa" w:w="120"/>
              <w:bottom w:type="dxa" w:w="100"/>
              <w:right w:type="dxa" w:w="120"/>
            </w:tcMar>
            <w:vAlign w:val="center"/>
          </w:tcPr>
          <w:p>
            <w:r>
              <w:rPr>
                <w:b/>
                <w:bCs/>
                <w:color w:val="FFFFFF"/>
                <w:sz w:val="20"/>
                <w:szCs w:val="20"/>
              </w:rPr>
              <w:t xml:space="preserve">Style</w:t>
            </w:r>
          </w:p>
        </w:tc>
        <w:tc>
          <w:tcPr>
            <w:tcW w:type="dxa" w:w="2400"/>
            <w:shd w:fill="344E41" w:val="clear"/>
            <w:tcMar>
              <w:top w:type="dxa" w:w="100"/>
              <w:left w:type="dxa" w:w="120"/>
              <w:bottom w:type="dxa" w:w="100"/>
              <w:right w:type="dxa" w:w="120"/>
            </w:tcMar>
            <w:vAlign w:val="center"/>
          </w:tcPr>
          <w:p>
            <w:r>
              <w:rPr>
                <w:b/>
                <w:bCs/>
                <w:color w:val="FFFFFF"/>
                <w:sz w:val="20"/>
                <w:szCs w:val="20"/>
              </w:rPr>
              <w:t xml:space="preserve">Size / Line height</w:t>
            </w:r>
          </w:p>
        </w:tc>
        <w:tc>
          <w:tcPr>
            <w:tcW w:type="dxa" w:w="2000"/>
            <w:shd w:fill="344E41" w:val="clear"/>
            <w:tcMar>
              <w:top w:type="dxa" w:w="100"/>
              <w:left w:type="dxa" w:w="120"/>
              <w:bottom w:type="dxa" w:w="100"/>
              <w:right w:type="dxa" w:w="120"/>
            </w:tcMar>
            <w:vAlign w:val="center"/>
          </w:tcPr>
          <w:p>
            <w:r>
              <w:rPr>
                <w:b/>
                <w:bCs/>
                <w:color w:val="FFFFFF"/>
                <w:sz w:val="20"/>
                <w:szCs w:val="20"/>
              </w:rPr>
              <w:t xml:space="preserve">Weight</w:t>
            </w:r>
          </w:p>
        </w:tc>
        <w:tc>
          <w:tcPr>
            <w:tcW w:type="dxa" w:w="2750"/>
            <w:shd w:fill="344E41" w:val="clear"/>
            <w:tcMar>
              <w:top w:type="dxa" w:w="100"/>
              <w:left w:type="dxa" w:w="120"/>
              <w:bottom w:type="dxa" w:w="100"/>
              <w:right w:type="dxa" w:w="120"/>
            </w:tcMar>
            <w:vAlign w:val="center"/>
          </w:tcPr>
          <w:p>
            <w:r>
              <w:rPr>
                <w:b/>
                <w:bCs/>
                <w:color w:val="FFFFFF"/>
                <w:sz w:val="20"/>
                <w:szCs w:val="20"/>
              </w:rPr>
              <w:t xml:space="preserve">Usage</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H1</w:t>
            </w:r>
          </w:p>
        </w:tc>
        <w:tc>
          <w:tcPr>
            <w:tcW w:type="dxa" w:w="2400"/>
            <w:shd w:fill="FFFFFF" w:val="clear"/>
            <w:tcMar>
              <w:top w:type="dxa" w:w="100"/>
              <w:left w:type="dxa" w:w="120"/>
              <w:bottom w:type="dxa" w:w="100"/>
              <w:right w:type="dxa" w:w="120"/>
            </w:tcMar>
            <w:vAlign w:val="center"/>
          </w:tcPr>
          <w:p>
            <w:r>
              <w:rPr>
                <w:b w:val="false"/>
                <w:bCs w:val="false"/>
                <w:color w:val="2B2B26"/>
                <w:sz w:val="20"/>
                <w:szCs w:val="20"/>
              </w:rPr>
              <w:t xml:space="preserve">28px / 36px</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Bold</w:t>
            </w:r>
          </w:p>
        </w:tc>
        <w:tc>
          <w:tcPr>
            <w:tcW w:type="dxa" w:w="2750"/>
            <w:shd w:fill="FFFFFF" w:val="clear"/>
            <w:tcMar>
              <w:top w:type="dxa" w:w="100"/>
              <w:left w:type="dxa" w:w="120"/>
              <w:bottom w:type="dxa" w:w="100"/>
              <w:right w:type="dxa" w:w="120"/>
            </w:tcMar>
            <w:vAlign w:val="center"/>
          </w:tcPr>
          <w:p>
            <w:r>
              <w:rPr>
                <w:b w:val="false"/>
                <w:bCs w:val="false"/>
                <w:color w:val="2B2B26"/>
                <w:sz w:val="20"/>
                <w:szCs w:val="20"/>
              </w:rPr>
              <w:t xml:space="preserve">Page titles</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H2</w:t>
            </w:r>
          </w:p>
        </w:tc>
        <w:tc>
          <w:tcPr>
            <w:tcW w:type="dxa" w:w="2400"/>
            <w:shd w:fill="F1EEE3" w:val="clear"/>
            <w:tcMar>
              <w:top w:type="dxa" w:w="100"/>
              <w:left w:type="dxa" w:w="120"/>
              <w:bottom w:type="dxa" w:w="100"/>
              <w:right w:type="dxa" w:w="120"/>
            </w:tcMar>
            <w:vAlign w:val="center"/>
          </w:tcPr>
          <w:p>
            <w:r>
              <w:rPr>
                <w:b w:val="false"/>
                <w:bCs w:val="false"/>
                <w:color w:val="2B2B26"/>
                <w:sz w:val="20"/>
                <w:szCs w:val="20"/>
              </w:rPr>
              <w:t xml:space="preserve">22px / 30px</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Bold</w:t>
            </w:r>
          </w:p>
        </w:tc>
        <w:tc>
          <w:tcPr>
            <w:tcW w:type="dxa" w:w="2750"/>
            <w:shd w:fill="F1EEE3" w:val="clear"/>
            <w:tcMar>
              <w:top w:type="dxa" w:w="100"/>
              <w:left w:type="dxa" w:w="120"/>
              <w:bottom w:type="dxa" w:w="100"/>
              <w:right w:type="dxa" w:w="120"/>
            </w:tcMar>
            <w:vAlign w:val="center"/>
          </w:tcPr>
          <w:p>
            <w:r>
              <w:rPr>
                <w:b w:val="false"/>
                <w:bCs w:val="false"/>
                <w:color w:val="2B2B26"/>
                <w:sz w:val="20"/>
                <w:szCs w:val="20"/>
              </w:rPr>
              <w:t xml:space="preserve">Section headers</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H3</w:t>
            </w:r>
          </w:p>
        </w:tc>
        <w:tc>
          <w:tcPr>
            <w:tcW w:type="dxa" w:w="2400"/>
            <w:shd w:fill="FFFFFF" w:val="clear"/>
            <w:tcMar>
              <w:top w:type="dxa" w:w="100"/>
              <w:left w:type="dxa" w:w="120"/>
              <w:bottom w:type="dxa" w:w="100"/>
              <w:right w:type="dxa" w:w="120"/>
            </w:tcMar>
            <w:vAlign w:val="center"/>
          </w:tcPr>
          <w:p>
            <w:r>
              <w:rPr>
                <w:b w:val="false"/>
                <w:bCs w:val="false"/>
                <w:color w:val="2B2B26"/>
                <w:sz w:val="20"/>
                <w:szCs w:val="20"/>
              </w:rPr>
              <w:t xml:space="preserve">18px / 26px</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Semibold</w:t>
            </w:r>
          </w:p>
        </w:tc>
        <w:tc>
          <w:tcPr>
            <w:tcW w:type="dxa" w:w="2750"/>
            <w:shd w:fill="FFFFFF" w:val="clear"/>
            <w:tcMar>
              <w:top w:type="dxa" w:w="100"/>
              <w:left w:type="dxa" w:w="120"/>
              <w:bottom w:type="dxa" w:w="100"/>
              <w:right w:type="dxa" w:w="120"/>
            </w:tcMar>
            <w:vAlign w:val="center"/>
          </w:tcPr>
          <w:p>
            <w:r>
              <w:rPr>
                <w:b w:val="false"/>
                <w:bCs w:val="false"/>
                <w:color w:val="2B2B26"/>
                <w:sz w:val="20"/>
                <w:szCs w:val="20"/>
              </w:rPr>
              <w:t xml:space="preserve">Card / panel headers</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Body</w:t>
            </w:r>
          </w:p>
        </w:tc>
        <w:tc>
          <w:tcPr>
            <w:tcW w:type="dxa" w:w="2400"/>
            <w:shd w:fill="F1EEE3" w:val="clear"/>
            <w:tcMar>
              <w:top w:type="dxa" w:w="100"/>
              <w:left w:type="dxa" w:w="120"/>
              <w:bottom w:type="dxa" w:w="100"/>
              <w:right w:type="dxa" w:w="120"/>
            </w:tcMar>
            <w:vAlign w:val="center"/>
          </w:tcPr>
          <w:p>
            <w:r>
              <w:rPr>
                <w:b w:val="false"/>
                <w:bCs w:val="false"/>
                <w:color w:val="2B2B26"/>
                <w:sz w:val="20"/>
                <w:szCs w:val="20"/>
              </w:rPr>
              <w:t xml:space="preserve">14px / 22px</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Regular</w:t>
            </w:r>
          </w:p>
        </w:tc>
        <w:tc>
          <w:tcPr>
            <w:tcW w:type="dxa" w:w="2750"/>
            <w:shd w:fill="F1EEE3" w:val="clear"/>
            <w:tcMar>
              <w:top w:type="dxa" w:w="100"/>
              <w:left w:type="dxa" w:w="120"/>
              <w:bottom w:type="dxa" w:w="100"/>
              <w:right w:type="dxa" w:w="120"/>
            </w:tcMar>
            <w:vAlign w:val="center"/>
          </w:tcPr>
          <w:p>
            <w:r>
              <w:rPr>
                <w:b w:val="false"/>
                <w:bCs w:val="false"/>
                <w:color w:val="2B2B26"/>
                <w:sz w:val="20"/>
                <w:szCs w:val="20"/>
              </w:rPr>
              <w:t xml:space="preserve">Default UI text</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Body Small</w:t>
            </w:r>
          </w:p>
        </w:tc>
        <w:tc>
          <w:tcPr>
            <w:tcW w:type="dxa" w:w="2400"/>
            <w:shd w:fill="FFFFFF" w:val="clear"/>
            <w:tcMar>
              <w:top w:type="dxa" w:w="100"/>
              <w:left w:type="dxa" w:w="120"/>
              <w:bottom w:type="dxa" w:w="100"/>
              <w:right w:type="dxa" w:w="120"/>
            </w:tcMar>
            <w:vAlign w:val="center"/>
          </w:tcPr>
          <w:p>
            <w:r>
              <w:rPr>
                <w:b w:val="false"/>
                <w:bCs w:val="false"/>
                <w:color w:val="2B2B26"/>
                <w:sz w:val="20"/>
                <w:szCs w:val="20"/>
              </w:rPr>
              <w:t xml:space="preserve">13px / 20px</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Regular</w:t>
            </w:r>
          </w:p>
        </w:tc>
        <w:tc>
          <w:tcPr>
            <w:tcW w:type="dxa" w:w="2750"/>
            <w:shd w:fill="FFFFFF" w:val="clear"/>
            <w:tcMar>
              <w:top w:type="dxa" w:w="100"/>
              <w:left w:type="dxa" w:w="120"/>
              <w:bottom w:type="dxa" w:w="100"/>
              <w:right w:type="dxa" w:w="120"/>
            </w:tcMar>
            <w:vAlign w:val="center"/>
          </w:tcPr>
          <w:p>
            <w:r>
              <w:rPr>
                <w:b w:val="false"/>
                <w:bCs w:val="false"/>
                <w:color w:val="2B2B26"/>
                <w:sz w:val="20"/>
                <w:szCs w:val="20"/>
              </w:rPr>
              <w:t xml:space="preserve">Secondary text, helper text</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Caption</w:t>
            </w:r>
          </w:p>
        </w:tc>
        <w:tc>
          <w:tcPr>
            <w:tcW w:type="dxa" w:w="2400"/>
            <w:shd w:fill="F1EEE3" w:val="clear"/>
            <w:tcMar>
              <w:top w:type="dxa" w:w="100"/>
              <w:left w:type="dxa" w:w="120"/>
              <w:bottom w:type="dxa" w:w="100"/>
              <w:right w:type="dxa" w:w="120"/>
            </w:tcMar>
            <w:vAlign w:val="center"/>
          </w:tcPr>
          <w:p>
            <w:r>
              <w:rPr>
                <w:b w:val="false"/>
                <w:bCs w:val="false"/>
                <w:color w:val="2B2B26"/>
                <w:sz w:val="20"/>
                <w:szCs w:val="20"/>
              </w:rPr>
              <w:t xml:space="preserve">12px / 16px</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Regular</w:t>
            </w:r>
          </w:p>
        </w:tc>
        <w:tc>
          <w:tcPr>
            <w:tcW w:type="dxa" w:w="2750"/>
            <w:shd w:fill="F1EEE3" w:val="clear"/>
            <w:tcMar>
              <w:top w:type="dxa" w:w="100"/>
              <w:left w:type="dxa" w:w="120"/>
              <w:bottom w:type="dxa" w:w="100"/>
              <w:right w:type="dxa" w:w="120"/>
            </w:tcMar>
            <w:vAlign w:val="center"/>
          </w:tcPr>
          <w:p>
            <w:r>
              <w:rPr>
                <w:b w:val="false"/>
                <w:bCs w:val="false"/>
                <w:color w:val="2B2B26"/>
                <w:sz w:val="20"/>
                <w:szCs w:val="20"/>
              </w:rPr>
              <w:t xml:space="preserve">Timestamps, metadata, table footnotes</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Numeric / Tabular</w:t>
            </w:r>
          </w:p>
        </w:tc>
        <w:tc>
          <w:tcPr>
            <w:tcW w:type="dxa" w:w="2400"/>
            <w:shd w:fill="FFFFFF" w:val="clear"/>
            <w:tcMar>
              <w:top w:type="dxa" w:w="100"/>
              <w:left w:type="dxa" w:w="120"/>
              <w:bottom w:type="dxa" w:w="100"/>
              <w:right w:type="dxa" w:w="120"/>
            </w:tcMar>
            <w:vAlign w:val="center"/>
          </w:tcPr>
          <w:p>
            <w:r>
              <w:rPr>
                <w:b w:val="false"/>
                <w:bCs w:val="false"/>
                <w:color w:val="2B2B26"/>
                <w:sz w:val="20"/>
                <w:szCs w:val="20"/>
              </w:rPr>
              <w:t xml:space="preserve">14-20px / tabular-nums</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Semibold</w:t>
            </w:r>
          </w:p>
        </w:tc>
        <w:tc>
          <w:tcPr>
            <w:tcW w:type="dxa" w:w="2750"/>
            <w:shd w:fill="FFFFFF" w:val="clear"/>
            <w:tcMar>
              <w:top w:type="dxa" w:w="100"/>
              <w:left w:type="dxa" w:w="120"/>
              <w:bottom w:type="dxa" w:w="100"/>
              <w:right w:type="dxa" w:w="120"/>
            </w:tcMar>
            <w:vAlign w:val="center"/>
          </w:tcPr>
          <w:p>
            <w:r>
              <w:rPr>
                <w:b w:val="false"/>
                <w:bCs w:val="false"/>
                <w:color w:val="2B2B26"/>
                <w:sz w:val="20"/>
                <w:szCs w:val="20"/>
              </w:rPr>
              <w:t xml:space="preserve">Prices, totals, quantities — always tabular figures</w:t>
            </w:r>
          </w:p>
        </w:tc>
      </w:tr>
    </w:tbl>
    <w:p>
      <w:pPr>
        <w:spacing w:after="160"/>
      </w:pPr>
      <w:r>
        <w:rPr>
          <w:i w:val="false"/>
          <w:iCs w:val="false"/>
          <w:color w:val="2B2B26"/>
        </w:rPr>
        <w:t xml:space="preserve">Dense data views (POS cart, inventory tables) may drop one step in the type scale relative to marketing-style pages (Settings, onboarding) to fit more rows without harming legibility — never below Body Small for actionable text.</w:t>
      </w:r>
    </w:p>
    <w:p>
      <w:pPr>
        <w:pStyle w:val="Heading2"/>
        <w:spacing w:after="160" w:before="360"/>
      </w:pPr>
      <w:r>
        <w:rPr>
          <w:b/>
          <w:bCs/>
          <w:color w:val="344E41"/>
        </w:rPr>
        <w:t xml:space="preserve">3.3 Spacing &amp; Grid</w:t>
      </w:r>
    </w:p>
    <w:p>
      <w:pPr>
        <w:pStyle w:val="ListParagraph"/>
        <w:numPr>
          <w:ilvl w:val="0"/>
          <w:numId w:val="2"/>
        </w:numPr>
        <w:spacing w:after="80"/>
      </w:pPr>
      <w:r>
        <w:rPr>
          <w:color w:val="2B2B26"/>
        </w:rPr>
        <w:t xml:space="preserve">Base spacing unit: 4px. Standard increments: 4, 8, 12, 16, 24, 32, 48, 64.</w:t>
      </w:r>
    </w:p>
    <w:p>
      <w:pPr>
        <w:pStyle w:val="ListParagraph"/>
        <w:numPr>
          <w:ilvl w:val="0"/>
          <w:numId w:val="2"/>
        </w:numPr>
        <w:spacing w:after="80"/>
      </w:pPr>
      <w:r>
        <w:rPr>
          <w:color w:val="2B2B26"/>
        </w:rPr>
        <w:t xml:space="preserve">Corner radius: 12px on cards, modals, and primary containers; 8px on inputs and buttons; 999px (pill) on tags and status badges.</w:t>
      </w:r>
    </w:p>
    <w:p>
      <w:pPr>
        <w:pStyle w:val="ListParagraph"/>
        <w:numPr>
          <w:ilvl w:val="0"/>
          <w:numId w:val="2"/>
        </w:numPr>
        <w:spacing w:after="80"/>
      </w:pPr>
      <w:r>
        <w:rPr>
          <w:color w:val="2B2B26"/>
        </w:rPr>
        <w:t xml:space="preserve">Grid: 12-column grid on desktop (≥ 1200px), 8-column on tablet (768-1199px), 4-column single-stack on mobile (&lt; 768px).</w:t>
      </w:r>
    </w:p>
    <w:p>
      <w:pPr>
        <w:pStyle w:val="ListParagraph"/>
        <w:numPr>
          <w:ilvl w:val="0"/>
          <w:numId w:val="2"/>
        </w:numPr>
        <w:spacing w:after="80"/>
      </w:pPr>
      <w:r>
        <w:rPr>
          <w:color w:val="2B2B26"/>
        </w:rPr>
        <w:t xml:space="preserve">Gutters: 24px desktop, 16px tablet, 12px mobile.</w:t>
      </w:r>
    </w:p>
    <w:p>
      <w:pPr>
        <w:pStyle w:val="ListParagraph"/>
        <w:numPr>
          <w:ilvl w:val="0"/>
          <w:numId w:val="2"/>
        </w:numPr>
        <w:spacing w:after="80"/>
      </w:pPr>
      <w:r>
        <w:rPr>
          <w:color w:val="2B2B26"/>
        </w:rPr>
        <w:t xml:space="preserve">Content max-width: 1280px on wide desktop screens, centered, to avoid overly long line lengths on dashboards.</w:t>
      </w:r>
    </w:p>
    <w:p>
      <w:pPr>
        <w:pStyle w:val="Heading2"/>
        <w:spacing w:after="160" w:before="360"/>
      </w:pPr>
      <w:r>
        <w:rPr>
          <w:b/>
          <w:bCs/>
          <w:color w:val="344E41"/>
        </w:rPr>
        <w:t xml:space="preserve">3.4 Elevation &amp; Shadows</w:t>
      </w:r>
    </w:p>
    <w:p>
      <w:pPr>
        <w:spacing w:after="160"/>
      </w:pPr>
      <w:r>
        <w:rPr>
          <w:i w:val="false"/>
          <w:iCs w:val="false"/>
          <w:color w:val="2B2B26"/>
        </w:rPr>
        <w:t xml:space="preserve">The aesthetic is flat, so elevation is used sparingly and only to communicate layering — something is floating above the page — never for pure decoration, per Quietly Competent.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50"/>
        <w:gridCol w:w="3000"/>
      </w:tblGrid>
      <w:tr>
        <w:trPr>
          <w:tblHeader/>
        </w:trPr>
        <w:tc>
          <w:tcPr>
            <w:tcW w:type="dxa" w:w="1200"/>
            <w:shd w:fill="344E41" w:val="clear"/>
            <w:tcMar>
              <w:top w:type="dxa" w:w="100"/>
              <w:left w:type="dxa" w:w="120"/>
              <w:bottom w:type="dxa" w:w="100"/>
              <w:right w:type="dxa" w:w="120"/>
            </w:tcMar>
            <w:vAlign w:val="center"/>
          </w:tcPr>
          <w:p>
            <w:r>
              <w:rPr>
                <w:b/>
                <w:bCs/>
                <w:color w:val="FFFFFF"/>
                <w:sz w:val="20"/>
                <w:szCs w:val="20"/>
              </w:rPr>
              <w:t xml:space="preserve">Level</w:t>
            </w:r>
          </w:p>
        </w:tc>
        <w:tc>
          <w:tcPr>
            <w:tcW w:type="dxa" w:w="1800"/>
            <w:shd w:fill="344E41" w:val="clear"/>
            <w:tcMar>
              <w:top w:type="dxa" w:w="100"/>
              <w:left w:type="dxa" w:w="120"/>
              <w:bottom w:type="dxa" w:w="100"/>
              <w:right w:type="dxa" w:w="120"/>
            </w:tcMar>
            <w:vAlign w:val="center"/>
          </w:tcPr>
          <w:p>
            <w:r>
              <w:rPr>
                <w:b/>
                <w:bCs/>
                <w:color w:val="FFFFFF"/>
                <w:sz w:val="20"/>
                <w:szCs w:val="20"/>
              </w:rPr>
              <w:t xml:space="preserve">Token</w:t>
            </w:r>
          </w:p>
        </w:tc>
        <w:tc>
          <w:tcPr>
            <w:tcW w:type="dxa" w:w="3350"/>
            <w:shd w:fill="344E41" w:val="clear"/>
            <w:tcMar>
              <w:top w:type="dxa" w:w="100"/>
              <w:left w:type="dxa" w:w="120"/>
              <w:bottom w:type="dxa" w:w="100"/>
              <w:right w:type="dxa" w:w="120"/>
            </w:tcMar>
            <w:vAlign w:val="center"/>
          </w:tcPr>
          <w:p>
            <w:r>
              <w:rPr>
                <w:b/>
                <w:bCs/>
                <w:color w:val="FFFFFF"/>
                <w:sz w:val="20"/>
                <w:szCs w:val="20"/>
              </w:rPr>
              <w:t xml:space="preserve">Shadow</w:t>
            </w:r>
          </w:p>
        </w:tc>
        <w:tc>
          <w:tcPr>
            <w:tcW w:type="dxa" w:w="3000"/>
            <w:shd w:fill="344E41" w:val="clear"/>
            <w:tcMar>
              <w:top w:type="dxa" w:w="100"/>
              <w:left w:type="dxa" w:w="120"/>
              <w:bottom w:type="dxa" w:w="100"/>
              <w:right w:type="dxa" w:w="120"/>
            </w:tcMar>
            <w:vAlign w:val="center"/>
          </w:tcPr>
          <w:p>
            <w:r>
              <w:rPr>
                <w:b/>
                <w:bCs/>
                <w:color w:val="FFFFFF"/>
                <w:sz w:val="20"/>
                <w:szCs w:val="20"/>
              </w:rPr>
              <w:t xml:space="preserve">Usage</w:t>
            </w:r>
          </w:p>
        </w:tc>
      </w:tr>
      <w:tr>
        <w:tc>
          <w:tcPr>
            <w:tcW w:type="dxa" w:w="1200"/>
            <w:shd w:fill="FFFFFF" w:val="clear"/>
            <w:tcMar>
              <w:top w:type="dxa" w:w="100"/>
              <w:left w:type="dxa" w:w="120"/>
              <w:bottom w:type="dxa" w:w="100"/>
              <w:right w:type="dxa" w:w="120"/>
            </w:tcMar>
            <w:vAlign w:val="center"/>
          </w:tcPr>
          <w:p>
            <w:r>
              <w:rPr>
                <w:b w:val="false"/>
                <w:bCs w:val="false"/>
                <w:color w:val="2B2B26"/>
                <w:sz w:val="20"/>
                <w:szCs w:val="20"/>
              </w:rPr>
              <w:t xml:space="preserve">0</w:t>
            </w:r>
          </w:p>
        </w:tc>
        <w:tc>
          <w:tcPr>
            <w:tcW w:type="dxa" w:w="1800"/>
            <w:shd w:fill="FFFFFF" w:val="clear"/>
            <w:tcMar>
              <w:top w:type="dxa" w:w="100"/>
              <w:left w:type="dxa" w:w="120"/>
              <w:bottom w:type="dxa" w:w="100"/>
              <w:right w:type="dxa" w:w="120"/>
            </w:tcMar>
            <w:vAlign w:val="center"/>
          </w:tcPr>
          <w:p>
            <w:r>
              <w:rPr>
                <w:b w:val="false"/>
                <w:bCs w:val="false"/>
                <w:color w:val="2B2B26"/>
                <w:sz w:val="20"/>
                <w:szCs w:val="20"/>
              </w:rPr>
              <w:t xml:space="preserve">flat</w:t>
            </w:r>
          </w:p>
        </w:tc>
        <w:tc>
          <w:tcPr>
            <w:tcW w:type="dxa" w:w="3350"/>
            <w:shd w:fill="FFFFFF" w:val="clear"/>
            <w:tcMar>
              <w:top w:type="dxa" w:w="100"/>
              <w:left w:type="dxa" w:w="120"/>
              <w:bottom w:type="dxa" w:w="100"/>
              <w:right w:type="dxa" w:w="120"/>
            </w:tcMar>
            <w:vAlign w:val="center"/>
          </w:tcPr>
          <w:p>
            <w:r>
              <w:rPr>
                <w:b w:val="false"/>
                <w:bCs w:val="false"/>
                <w:color w:val="2B2B26"/>
                <w:sz w:val="20"/>
                <w:szCs w:val="20"/>
              </w:rPr>
              <w:t xml:space="preserve">none, 1px border only</w:t>
            </w:r>
          </w:p>
        </w:tc>
        <w:tc>
          <w:tcPr>
            <w:tcW w:type="dxa" w:w="3000"/>
            <w:shd w:fill="FFFFFF" w:val="clear"/>
            <w:tcMar>
              <w:top w:type="dxa" w:w="100"/>
              <w:left w:type="dxa" w:w="120"/>
              <w:bottom w:type="dxa" w:w="100"/>
              <w:right w:type="dxa" w:w="120"/>
            </w:tcMar>
            <w:vAlign w:val="center"/>
          </w:tcPr>
          <w:p>
            <w:r>
              <w:rPr>
                <w:b w:val="false"/>
                <w:bCs w:val="false"/>
                <w:color w:val="2B2B26"/>
                <w:sz w:val="20"/>
                <w:szCs w:val="20"/>
              </w:rPr>
              <w:t xml:space="preserve">Cards resting on the page</w:t>
            </w:r>
          </w:p>
        </w:tc>
      </w:tr>
      <w:tr>
        <w:tc>
          <w:tcPr>
            <w:tcW w:type="dxa" w:w="1200"/>
            <w:shd w:fill="F1EEE3" w:val="clear"/>
            <w:tcMar>
              <w:top w:type="dxa" w:w="100"/>
              <w:left w:type="dxa" w:w="120"/>
              <w:bottom w:type="dxa" w:w="100"/>
              <w:right w:type="dxa" w:w="120"/>
            </w:tcMar>
            <w:vAlign w:val="center"/>
          </w:tcPr>
          <w:p>
            <w:r>
              <w:rPr>
                <w:b w:val="false"/>
                <w:bCs w:val="false"/>
                <w:color w:val="2B2B26"/>
                <w:sz w:val="20"/>
                <w:szCs w:val="20"/>
              </w:rPr>
              <w:t xml:space="preserve">1</w:t>
            </w:r>
          </w:p>
        </w:tc>
        <w:tc>
          <w:tcPr>
            <w:tcW w:type="dxa" w:w="1800"/>
            <w:shd w:fill="F1EEE3" w:val="clear"/>
            <w:tcMar>
              <w:top w:type="dxa" w:w="100"/>
              <w:left w:type="dxa" w:w="120"/>
              <w:bottom w:type="dxa" w:w="100"/>
              <w:right w:type="dxa" w:w="120"/>
            </w:tcMar>
            <w:vAlign w:val="center"/>
          </w:tcPr>
          <w:p>
            <w:r>
              <w:rPr>
                <w:b w:val="false"/>
                <w:bCs w:val="false"/>
                <w:color w:val="2B2B26"/>
                <w:sz w:val="20"/>
                <w:szCs w:val="20"/>
              </w:rPr>
              <w:t xml:space="preserve">raised</w:t>
            </w:r>
          </w:p>
        </w:tc>
        <w:tc>
          <w:tcPr>
            <w:tcW w:type="dxa" w:w="3350"/>
            <w:shd w:fill="F1EEE3" w:val="clear"/>
            <w:tcMar>
              <w:top w:type="dxa" w:w="100"/>
              <w:left w:type="dxa" w:w="120"/>
              <w:bottom w:type="dxa" w:w="100"/>
              <w:right w:type="dxa" w:w="120"/>
            </w:tcMar>
            <w:vAlign w:val="center"/>
          </w:tcPr>
          <w:p>
            <w:r>
              <w:rPr>
                <w:b w:val="false"/>
                <w:bCs w:val="false"/>
                <w:color w:val="2B2B26"/>
                <w:sz w:val="20"/>
                <w:szCs w:val="20"/>
              </w:rPr>
              <w:t xml:space="preserve">0 1px 2px rgba(0,0,0,0.06)</w:t>
            </w:r>
          </w:p>
        </w:tc>
        <w:tc>
          <w:tcPr>
            <w:tcW w:type="dxa" w:w="3000"/>
            <w:shd w:fill="F1EEE3" w:val="clear"/>
            <w:tcMar>
              <w:top w:type="dxa" w:w="100"/>
              <w:left w:type="dxa" w:w="120"/>
              <w:bottom w:type="dxa" w:w="100"/>
              <w:right w:type="dxa" w:w="120"/>
            </w:tcMar>
            <w:vAlign w:val="center"/>
          </w:tcPr>
          <w:p>
            <w:r>
              <w:rPr>
                <w:b w:val="false"/>
                <w:bCs w:val="false"/>
                <w:color w:val="2B2B26"/>
                <w:sz w:val="20"/>
                <w:szCs w:val="20"/>
              </w:rPr>
              <w:t xml:space="preserve">Hover state on cards/rows</w:t>
            </w:r>
          </w:p>
        </w:tc>
      </w:tr>
      <w:tr>
        <w:tc>
          <w:tcPr>
            <w:tcW w:type="dxa" w:w="1200"/>
            <w:shd w:fill="FFFFFF" w:val="clear"/>
            <w:tcMar>
              <w:top w:type="dxa" w:w="100"/>
              <w:left w:type="dxa" w:w="120"/>
              <w:bottom w:type="dxa" w:w="100"/>
              <w:right w:type="dxa" w:w="120"/>
            </w:tcMar>
            <w:vAlign w:val="center"/>
          </w:tcPr>
          <w:p>
            <w:r>
              <w:rPr>
                <w:b w:val="false"/>
                <w:bCs w:val="false"/>
                <w:color w:val="2B2B26"/>
                <w:sz w:val="20"/>
                <w:szCs w:val="20"/>
              </w:rPr>
              <w:t xml:space="preserve">2</w:t>
            </w:r>
          </w:p>
        </w:tc>
        <w:tc>
          <w:tcPr>
            <w:tcW w:type="dxa" w:w="1800"/>
            <w:shd w:fill="FFFFFF" w:val="clear"/>
            <w:tcMar>
              <w:top w:type="dxa" w:w="100"/>
              <w:left w:type="dxa" w:w="120"/>
              <w:bottom w:type="dxa" w:w="100"/>
              <w:right w:type="dxa" w:w="120"/>
            </w:tcMar>
            <w:vAlign w:val="center"/>
          </w:tcPr>
          <w:p>
            <w:r>
              <w:rPr>
                <w:b w:val="false"/>
                <w:bCs w:val="false"/>
                <w:color w:val="2B2B26"/>
                <w:sz w:val="20"/>
                <w:szCs w:val="20"/>
              </w:rPr>
              <w:t xml:space="preserve">overlay</w:t>
            </w:r>
          </w:p>
        </w:tc>
        <w:tc>
          <w:tcPr>
            <w:tcW w:type="dxa" w:w="3350"/>
            <w:shd w:fill="FFFFFF" w:val="clear"/>
            <w:tcMar>
              <w:top w:type="dxa" w:w="100"/>
              <w:left w:type="dxa" w:w="120"/>
              <w:bottom w:type="dxa" w:w="100"/>
              <w:right w:type="dxa" w:w="120"/>
            </w:tcMar>
            <w:vAlign w:val="center"/>
          </w:tcPr>
          <w:p>
            <w:r>
              <w:rPr>
                <w:b w:val="false"/>
                <w:bCs w:val="false"/>
                <w:color w:val="2B2B26"/>
                <w:sz w:val="20"/>
                <w:szCs w:val="20"/>
              </w:rPr>
              <w:t xml:space="preserve">0 8px 24px rgba(0,0,0,0.12)</w:t>
            </w:r>
          </w:p>
        </w:tc>
        <w:tc>
          <w:tcPr>
            <w:tcW w:type="dxa" w:w="3000"/>
            <w:shd w:fill="FFFFFF" w:val="clear"/>
            <w:tcMar>
              <w:top w:type="dxa" w:w="100"/>
              <w:left w:type="dxa" w:w="120"/>
              <w:bottom w:type="dxa" w:w="100"/>
              <w:right w:type="dxa" w:w="120"/>
            </w:tcMar>
            <w:vAlign w:val="center"/>
          </w:tcPr>
          <w:p>
            <w:r>
              <w:rPr>
                <w:b w:val="false"/>
                <w:bCs w:val="false"/>
                <w:color w:val="2B2B26"/>
                <w:sz w:val="20"/>
                <w:szCs w:val="20"/>
              </w:rPr>
              <w:t xml:space="preserve">Dropdowns, popovers, command palette</w:t>
            </w:r>
          </w:p>
        </w:tc>
      </w:tr>
      <w:tr>
        <w:tc>
          <w:tcPr>
            <w:tcW w:type="dxa" w:w="1200"/>
            <w:shd w:fill="F1EEE3" w:val="clear"/>
            <w:tcMar>
              <w:top w:type="dxa" w:w="100"/>
              <w:left w:type="dxa" w:w="120"/>
              <w:bottom w:type="dxa" w:w="100"/>
              <w:right w:type="dxa" w:w="120"/>
            </w:tcMar>
            <w:vAlign w:val="center"/>
          </w:tcPr>
          <w:p>
            <w:r>
              <w:rPr>
                <w:b w:val="false"/>
                <w:bCs w:val="false"/>
                <w:color w:val="2B2B26"/>
                <w:sz w:val="20"/>
                <w:szCs w:val="20"/>
              </w:rPr>
              <w:t xml:space="preserve">3</w:t>
            </w:r>
          </w:p>
        </w:tc>
        <w:tc>
          <w:tcPr>
            <w:tcW w:type="dxa" w:w="1800"/>
            <w:shd w:fill="F1EEE3" w:val="clear"/>
            <w:tcMar>
              <w:top w:type="dxa" w:w="100"/>
              <w:left w:type="dxa" w:w="120"/>
              <w:bottom w:type="dxa" w:w="100"/>
              <w:right w:type="dxa" w:w="120"/>
            </w:tcMar>
            <w:vAlign w:val="center"/>
          </w:tcPr>
          <w:p>
            <w:r>
              <w:rPr>
                <w:b w:val="false"/>
                <w:bCs w:val="false"/>
                <w:color w:val="2B2B26"/>
                <w:sz w:val="20"/>
                <w:szCs w:val="20"/>
              </w:rPr>
              <w:t xml:space="preserve">modal</w:t>
            </w:r>
          </w:p>
        </w:tc>
        <w:tc>
          <w:tcPr>
            <w:tcW w:type="dxa" w:w="3350"/>
            <w:shd w:fill="F1EEE3" w:val="clear"/>
            <w:tcMar>
              <w:top w:type="dxa" w:w="100"/>
              <w:left w:type="dxa" w:w="120"/>
              <w:bottom w:type="dxa" w:w="100"/>
              <w:right w:type="dxa" w:w="120"/>
            </w:tcMar>
            <w:vAlign w:val="center"/>
          </w:tcPr>
          <w:p>
            <w:r>
              <w:rPr>
                <w:b w:val="false"/>
                <w:bCs w:val="false"/>
                <w:color w:val="2B2B26"/>
                <w:sz w:val="20"/>
                <w:szCs w:val="20"/>
              </w:rPr>
              <w:t xml:space="preserve">0 16px 40px rgba(0,0,0,0.18)</w:t>
            </w:r>
          </w:p>
        </w:tc>
        <w:tc>
          <w:tcPr>
            <w:tcW w:type="dxa" w:w="3000"/>
            <w:shd w:fill="F1EEE3" w:val="clear"/>
            <w:tcMar>
              <w:top w:type="dxa" w:w="100"/>
              <w:left w:type="dxa" w:w="120"/>
              <w:bottom w:type="dxa" w:w="100"/>
              <w:right w:type="dxa" w:w="120"/>
            </w:tcMar>
            <w:vAlign w:val="center"/>
          </w:tcPr>
          <w:p>
            <w:r>
              <w:rPr>
                <w:b w:val="false"/>
                <w:bCs w:val="false"/>
                <w:color w:val="2B2B26"/>
                <w:sz w:val="20"/>
                <w:szCs w:val="20"/>
              </w:rPr>
              <w:t xml:space="preserve">Modals, dialogs</w:t>
            </w:r>
          </w:p>
        </w:tc>
      </w:tr>
    </w:tbl>
    <w:p>
      <w:pPr>
        <w:pStyle w:val="Heading2"/>
        <w:spacing w:after="160" w:before="360"/>
      </w:pPr>
      <w:r>
        <w:rPr>
          <w:b/>
          <w:bCs/>
          <w:color w:val="344E41"/>
        </w:rPr>
        <w:t xml:space="preserve">3.5 Iconography &amp; Imagery</w:t>
      </w:r>
    </w:p>
    <w:p>
      <w:pPr>
        <w:pStyle w:val="ListParagraph"/>
        <w:numPr>
          <w:ilvl w:val="0"/>
          <w:numId w:val="2"/>
        </w:numPr>
        <w:spacing w:after="80"/>
      </w:pPr>
      <w:r>
        <w:rPr>
          <w:color w:val="2B2B26"/>
        </w:rPr>
        <w:t xml:space="preserve">Icon style: line icons, 1.5px stroke, 20px or 24px frame, matching Linear's restrained density.</w:t>
      </w:r>
    </w:p>
    <w:p>
      <w:pPr>
        <w:pStyle w:val="ListParagraph"/>
        <w:numPr>
          <w:ilvl w:val="0"/>
          <w:numId w:val="2"/>
        </w:numPr>
        <w:spacing w:after="80"/>
      </w:pPr>
      <w:r>
        <w:rPr>
          <w:color w:val="2B2B26"/>
        </w:rPr>
        <w:t xml:space="preserve">Icons paired with semantic color always carry a text label as well — never icon-only for status.</w:t>
      </w:r>
    </w:p>
    <w:p>
      <w:pPr>
        <w:pStyle w:val="ListParagraph"/>
        <w:numPr>
          <w:ilvl w:val="0"/>
          <w:numId w:val="2"/>
        </w:numPr>
        <w:spacing w:after="80"/>
      </w:pPr>
      <w:r>
        <w:rPr>
          <w:color w:val="2B2B26"/>
        </w:rPr>
        <w:t xml:space="preserve">Product imagery uses the 12px radius and a subtle 1px border on white backgrounds; missing images fall back to a neutral placeholder tile, never a broken-image icon.</w:t>
      </w:r>
    </w:p>
    <w:p>
      <w:pPr>
        <w:pStyle w:val="Heading2"/>
        <w:spacing w:after="160" w:before="360"/>
      </w:pPr>
      <w:r>
        <w:rPr>
          <w:b/>
          <w:bCs/>
          <w:color w:val="344E41"/>
        </w:rPr>
        <w:t xml:space="preserve">3.6 Motion &amp; Animation</w:t>
      </w:r>
    </w:p>
    <w:p>
      <w:pPr>
        <w:spacing w:after="160"/>
      </w:pPr>
      <w:r>
        <w:rPr>
          <w:i w:val="false"/>
          <w:iCs w:val="false"/>
          <w:color w:val="2B2B26"/>
        </w:rPr>
        <w:t xml:space="preserve">Motion in BMS communicates state change — it is not decorative. Every animation should answer "what just happened" or "what is about to happen," consistent with Quietly Competent and Operational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50"/>
        <w:gridCol w:w="2700"/>
      </w:tblGrid>
      <w:tr>
        <w:trPr>
          <w:tblHeader/>
        </w:trPr>
        <w:tc>
          <w:tcPr>
            <w:tcW w:type="dxa" w:w="2200"/>
            <w:shd w:fill="344E41" w:val="clear"/>
            <w:tcMar>
              <w:top w:type="dxa" w:w="100"/>
              <w:left w:type="dxa" w:w="120"/>
              <w:bottom w:type="dxa" w:w="100"/>
              <w:right w:type="dxa" w:w="120"/>
            </w:tcMar>
            <w:vAlign w:val="center"/>
          </w:tcPr>
          <w:p>
            <w:r>
              <w:rPr>
                <w:b/>
                <w:bCs/>
                <w:color w:val="FFFFFF"/>
                <w:sz w:val="20"/>
                <w:szCs w:val="20"/>
              </w:rPr>
              <w:t xml:space="preserve">Context</w:t>
            </w:r>
          </w:p>
        </w:tc>
        <w:tc>
          <w:tcPr>
            <w:tcW w:type="dxa" w:w="2000"/>
            <w:shd w:fill="344E41" w:val="clear"/>
            <w:tcMar>
              <w:top w:type="dxa" w:w="100"/>
              <w:left w:type="dxa" w:w="120"/>
              <w:bottom w:type="dxa" w:w="100"/>
              <w:right w:type="dxa" w:w="120"/>
            </w:tcMar>
            <w:vAlign w:val="center"/>
          </w:tcPr>
          <w:p>
            <w:r>
              <w:rPr>
                <w:b/>
                <w:bCs/>
                <w:color w:val="FFFFFF"/>
                <w:sz w:val="20"/>
                <w:szCs w:val="20"/>
              </w:rPr>
              <w:t xml:space="preserve">Duration</w:t>
            </w:r>
          </w:p>
        </w:tc>
        <w:tc>
          <w:tcPr>
            <w:tcW w:type="dxa" w:w="2450"/>
            <w:shd w:fill="344E41" w:val="clear"/>
            <w:tcMar>
              <w:top w:type="dxa" w:w="100"/>
              <w:left w:type="dxa" w:w="120"/>
              <w:bottom w:type="dxa" w:w="100"/>
              <w:right w:type="dxa" w:w="120"/>
            </w:tcMar>
            <w:vAlign w:val="center"/>
          </w:tcPr>
          <w:p>
            <w:r>
              <w:rPr>
                <w:b/>
                <w:bCs/>
                <w:color w:val="FFFFFF"/>
                <w:sz w:val="20"/>
                <w:szCs w:val="20"/>
              </w:rPr>
              <w:t xml:space="preserve">Easing</w:t>
            </w:r>
          </w:p>
        </w:tc>
        <w:tc>
          <w:tcPr>
            <w:tcW w:type="dxa" w:w="2700"/>
            <w:shd w:fill="344E41" w:val="clear"/>
            <w:tcMar>
              <w:top w:type="dxa" w:w="100"/>
              <w:left w:type="dxa" w:w="120"/>
              <w:bottom w:type="dxa" w:w="100"/>
              <w:right w:type="dxa" w:w="120"/>
            </w:tcMar>
            <w:vAlign w:val="center"/>
          </w:tcPr>
          <w:p>
            <w:r>
              <w:rPr>
                <w:b/>
                <w:bCs/>
                <w:color w:val="FFFFFF"/>
                <w:sz w:val="20"/>
                <w:szCs w:val="20"/>
              </w:rPr>
              <w:t xml:space="preserve">Purpose</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Hover / focus feedback</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100-120ms</w:t>
            </w:r>
          </w:p>
        </w:tc>
        <w:tc>
          <w:tcPr>
            <w:tcW w:type="dxa" w:w="2450"/>
            <w:shd w:fill="FFFFFF" w:val="clear"/>
            <w:tcMar>
              <w:top w:type="dxa" w:w="100"/>
              <w:left w:type="dxa" w:w="120"/>
              <w:bottom w:type="dxa" w:w="100"/>
              <w:right w:type="dxa" w:w="120"/>
            </w:tcMar>
            <w:vAlign w:val="center"/>
          </w:tcPr>
          <w:p>
            <w:r>
              <w:rPr>
                <w:b w:val="false"/>
                <w:bCs w:val="false"/>
                <w:color w:val="2B2B26"/>
                <w:sz w:val="20"/>
                <w:szCs w:val="20"/>
              </w:rPr>
              <w:t xml:space="preserve">ease-out</w:t>
            </w:r>
          </w:p>
        </w:tc>
        <w:tc>
          <w:tcPr>
            <w:tcW w:type="dxa" w:w="2700"/>
            <w:shd w:fill="FFFFFF" w:val="clear"/>
            <w:tcMar>
              <w:top w:type="dxa" w:w="100"/>
              <w:left w:type="dxa" w:w="120"/>
              <w:bottom w:type="dxa" w:w="100"/>
              <w:right w:type="dxa" w:w="120"/>
            </w:tcMar>
            <w:vAlign w:val="center"/>
          </w:tcPr>
          <w:p>
            <w:r>
              <w:rPr>
                <w:b w:val="false"/>
                <w:bCs w:val="false"/>
                <w:color w:val="2B2B26"/>
                <w:sz w:val="20"/>
                <w:szCs w:val="20"/>
              </w:rPr>
              <w:t xml:space="preserve">Confirms an element is interactive</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Button press</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80ms</w:t>
            </w:r>
          </w:p>
        </w:tc>
        <w:tc>
          <w:tcPr>
            <w:tcW w:type="dxa" w:w="2450"/>
            <w:shd w:fill="F1EEE3" w:val="clear"/>
            <w:tcMar>
              <w:top w:type="dxa" w:w="100"/>
              <w:left w:type="dxa" w:w="120"/>
              <w:bottom w:type="dxa" w:w="100"/>
              <w:right w:type="dxa" w:w="120"/>
            </w:tcMar>
            <w:vAlign w:val="center"/>
          </w:tcPr>
          <w:p>
            <w:r>
              <w:rPr>
                <w:b w:val="false"/>
                <w:bCs w:val="false"/>
                <w:color w:val="2B2B26"/>
                <w:sz w:val="20"/>
                <w:szCs w:val="20"/>
              </w:rPr>
              <w:t xml:space="preserve">ease-in-out</w:t>
            </w:r>
          </w:p>
        </w:tc>
        <w:tc>
          <w:tcPr>
            <w:tcW w:type="dxa" w:w="2700"/>
            <w:shd w:fill="F1EEE3" w:val="clear"/>
            <w:tcMar>
              <w:top w:type="dxa" w:w="100"/>
              <w:left w:type="dxa" w:w="120"/>
              <w:bottom w:type="dxa" w:w="100"/>
              <w:right w:type="dxa" w:w="120"/>
            </w:tcMar>
            <w:vAlign w:val="center"/>
          </w:tcPr>
          <w:p>
            <w:r>
              <w:rPr>
                <w:b w:val="false"/>
                <w:bCs w:val="false"/>
                <w:color w:val="2B2B26"/>
                <w:sz w:val="20"/>
                <w:szCs w:val="20"/>
              </w:rPr>
              <w:t xml:space="preserve">Confirms a tap registered</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Card / row transition</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150-200ms</w:t>
            </w:r>
          </w:p>
        </w:tc>
        <w:tc>
          <w:tcPr>
            <w:tcW w:type="dxa" w:w="2450"/>
            <w:shd w:fill="FFFFFF" w:val="clear"/>
            <w:tcMar>
              <w:top w:type="dxa" w:w="100"/>
              <w:left w:type="dxa" w:w="120"/>
              <w:bottom w:type="dxa" w:w="100"/>
              <w:right w:type="dxa" w:w="120"/>
            </w:tcMar>
            <w:vAlign w:val="center"/>
          </w:tcPr>
          <w:p>
            <w:r>
              <w:rPr>
                <w:b w:val="false"/>
                <w:bCs w:val="false"/>
                <w:color w:val="2B2B26"/>
                <w:sz w:val="20"/>
                <w:szCs w:val="20"/>
              </w:rPr>
              <w:t xml:space="preserve">ease-out</w:t>
            </w:r>
          </w:p>
        </w:tc>
        <w:tc>
          <w:tcPr>
            <w:tcW w:type="dxa" w:w="2700"/>
            <w:shd w:fill="FFFFFF" w:val="clear"/>
            <w:tcMar>
              <w:top w:type="dxa" w:w="100"/>
              <w:left w:type="dxa" w:w="120"/>
              <w:bottom w:type="dxa" w:w="100"/>
              <w:right w:type="dxa" w:w="120"/>
            </w:tcMar>
            <w:vAlign w:val="center"/>
          </w:tcPr>
          <w:p>
            <w:r>
              <w:rPr>
                <w:b w:val="false"/>
                <w:bCs w:val="false"/>
                <w:color w:val="2B2B26"/>
                <w:sz w:val="20"/>
                <w:szCs w:val="20"/>
              </w:rPr>
              <w:t xml:space="preserve">Smooths reordering, expand/collapse</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Drawer / side panel</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200-250ms</w:t>
            </w:r>
          </w:p>
        </w:tc>
        <w:tc>
          <w:tcPr>
            <w:tcW w:type="dxa" w:w="2450"/>
            <w:shd w:fill="F1EEE3" w:val="clear"/>
            <w:tcMar>
              <w:top w:type="dxa" w:w="100"/>
              <w:left w:type="dxa" w:w="120"/>
              <w:bottom w:type="dxa" w:w="100"/>
              <w:right w:type="dxa" w:w="120"/>
            </w:tcMar>
            <w:vAlign w:val="center"/>
          </w:tcPr>
          <w:p>
            <w:r>
              <w:rPr>
                <w:b w:val="false"/>
                <w:bCs w:val="false"/>
                <w:color w:val="2B2B26"/>
                <w:sz w:val="20"/>
                <w:szCs w:val="20"/>
              </w:rPr>
              <w:t xml:space="preserve">ease-out</w:t>
            </w:r>
          </w:p>
        </w:tc>
        <w:tc>
          <w:tcPr>
            <w:tcW w:type="dxa" w:w="2700"/>
            <w:shd w:fill="F1EEE3" w:val="clear"/>
            <w:tcMar>
              <w:top w:type="dxa" w:w="100"/>
              <w:left w:type="dxa" w:w="120"/>
              <w:bottom w:type="dxa" w:w="100"/>
              <w:right w:type="dxa" w:w="120"/>
            </w:tcMar>
            <w:vAlign w:val="center"/>
          </w:tcPr>
          <w:p>
            <w:r>
              <w:rPr>
                <w:b w:val="false"/>
                <w:bCs w:val="false"/>
                <w:color w:val="2B2B26"/>
                <w:sz w:val="20"/>
                <w:szCs w:val="20"/>
              </w:rPr>
              <w:t xml:space="preserve">Reinforces spatial origin (slides from an edge)</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Modal open/close</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200ms</w:t>
            </w:r>
          </w:p>
        </w:tc>
        <w:tc>
          <w:tcPr>
            <w:tcW w:type="dxa" w:w="2450"/>
            <w:shd w:fill="FFFFFF" w:val="clear"/>
            <w:tcMar>
              <w:top w:type="dxa" w:w="100"/>
              <w:left w:type="dxa" w:w="120"/>
              <w:bottom w:type="dxa" w:w="100"/>
              <w:right w:type="dxa" w:w="120"/>
            </w:tcMar>
            <w:vAlign w:val="center"/>
          </w:tcPr>
          <w:p>
            <w:r>
              <w:rPr>
                <w:b w:val="false"/>
                <w:bCs w:val="false"/>
                <w:color w:val="2B2B26"/>
                <w:sz w:val="20"/>
                <w:szCs w:val="20"/>
              </w:rPr>
              <w:t xml:space="preserve">ease-out (in), ease-in (out)</w:t>
            </w:r>
          </w:p>
        </w:tc>
        <w:tc>
          <w:tcPr>
            <w:tcW w:type="dxa" w:w="2700"/>
            <w:shd w:fill="FFFFFF" w:val="clear"/>
            <w:tcMar>
              <w:top w:type="dxa" w:w="100"/>
              <w:left w:type="dxa" w:w="120"/>
              <w:bottom w:type="dxa" w:w="100"/>
              <w:right w:type="dxa" w:w="120"/>
            </w:tcMar>
            <w:vAlign w:val="center"/>
          </w:tcPr>
          <w:p>
            <w:r>
              <w:rPr>
                <w:b w:val="false"/>
                <w:bCs w:val="false"/>
                <w:color w:val="2B2B26"/>
                <w:sz w:val="20"/>
                <w:szCs w:val="20"/>
              </w:rPr>
              <w:t xml:space="preserve">Signals a temporary, focused context</w:t>
            </w:r>
          </w:p>
        </w:tc>
      </w:tr>
      <w:tr>
        <w:tc>
          <w:tcPr>
            <w:tcW w:type="dxa" w:w="2200"/>
            <w:shd w:fill="F1EEE3" w:val="clear"/>
            <w:tcMar>
              <w:top w:type="dxa" w:w="100"/>
              <w:left w:type="dxa" w:w="120"/>
              <w:bottom w:type="dxa" w:w="100"/>
              <w:right w:type="dxa" w:w="120"/>
            </w:tcMar>
            <w:vAlign w:val="center"/>
          </w:tcPr>
          <w:p>
            <w:r>
              <w:rPr>
                <w:b w:val="false"/>
                <w:bCs w:val="false"/>
                <w:color w:val="2B2B26"/>
                <w:sz w:val="20"/>
                <w:szCs w:val="20"/>
              </w:rPr>
              <w:t xml:space="preserve">Toast / snackbar</w:t>
            </w:r>
          </w:p>
        </w:tc>
        <w:tc>
          <w:tcPr>
            <w:tcW w:type="dxa" w:w="2000"/>
            <w:shd w:fill="F1EEE3" w:val="clear"/>
            <w:tcMar>
              <w:top w:type="dxa" w:w="100"/>
              <w:left w:type="dxa" w:w="120"/>
              <w:bottom w:type="dxa" w:w="100"/>
              <w:right w:type="dxa" w:w="120"/>
            </w:tcMar>
            <w:vAlign w:val="center"/>
          </w:tcPr>
          <w:p>
            <w:r>
              <w:rPr>
                <w:b w:val="false"/>
                <w:bCs w:val="false"/>
                <w:color w:val="2B2B26"/>
                <w:sz w:val="20"/>
                <w:szCs w:val="20"/>
              </w:rPr>
              <w:t xml:space="preserve">200ms in, 150ms out</w:t>
            </w:r>
          </w:p>
        </w:tc>
        <w:tc>
          <w:tcPr>
            <w:tcW w:type="dxa" w:w="2450"/>
            <w:shd w:fill="F1EEE3" w:val="clear"/>
            <w:tcMar>
              <w:top w:type="dxa" w:w="100"/>
              <w:left w:type="dxa" w:w="120"/>
              <w:bottom w:type="dxa" w:w="100"/>
              <w:right w:type="dxa" w:w="120"/>
            </w:tcMar>
            <w:vAlign w:val="center"/>
          </w:tcPr>
          <w:p>
            <w:r>
              <w:rPr>
                <w:b w:val="false"/>
                <w:bCs w:val="false"/>
                <w:color w:val="2B2B26"/>
                <w:sz w:val="20"/>
                <w:szCs w:val="20"/>
              </w:rPr>
              <w:t xml:space="preserve">ease-out</w:t>
            </w:r>
          </w:p>
        </w:tc>
        <w:tc>
          <w:tcPr>
            <w:tcW w:type="dxa" w:w="2700"/>
            <w:shd w:fill="F1EEE3" w:val="clear"/>
            <w:tcMar>
              <w:top w:type="dxa" w:w="100"/>
              <w:left w:type="dxa" w:w="120"/>
              <w:bottom w:type="dxa" w:w="100"/>
              <w:right w:type="dxa" w:w="120"/>
            </w:tcMar>
            <w:vAlign w:val="center"/>
          </w:tcPr>
          <w:p>
            <w:r>
              <w:rPr>
                <w:b w:val="false"/>
                <w:bCs w:val="false"/>
                <w:color w:val="2B2B26"/>
                <w:sz w:val="20"/>
                <w:szCs w:val="20"/>
              </w:rPr>
              <w:t xml:space="preserve">Draws attention briefly without demanding it</w:t>
            </w:r>
          </w:p>
        </w:tc>
      </w:tr>
      <w:tr>
        <w:tc>
          <w:tcPr>
            <w:tcW w:type="dxa" w:w="2200"/>
            <w:shd w:fill="FFFFFF" w:val="clear"/>
            <w:tcMar>
              <w:top w:type="dxa" w:w="100"/>
              <w:left w:type="dxa" w:w="120"/>
              <w:bottom w:type="dxa" w:w="100"/>
              <w:right w:type="dxa" w:w="120"/>
            </w:tcMar>
            <w:vAlign w:val="center"/>
          </w:tcPr>
          <w:p>
            <w:r>
              <w:rPr>
                <w:b w:val="false"/>
                <w:bCs w:val="false"/>
                <w:color w:val="2B2B26"/>
                <w:sz w:val="20"/>
                <w:szCs w:val="20"/>
              </w:rPr>
              <w:t xml:space="preserve">Loading / progress</w:t>
            </w:r>
          </w:p>
        </w:tc>
        <w:tc>
          <w:tcPr>
            <w:tcW w:type="dxa" w:w="2000"/>
            <w:shd w:fill="FFFFFF" w:val="clear"/>
            <w:tcMar>
              <w:top w:type="dxa" w:w="100"/>
              <w:left w:type="dxa" w:w="120"/>
              <w:bottom w:type="dxa" w:w="100"/>
              <w:right w:type="dxa" w:w="120"/>
            </w:tcMar>
            <w:vAlign w:val="center"/>
          </w:tcPr>
          <w:p>
            <w:r>
              <w:rPr>
                <w:b w:val="false"/>
                <w:bCs w:val="false"/>
                <w:color w:val="2B2B26"/>
                <w:sz w:val="20"/>
                <w:szCs w:val="20"/>
              </w:rPr>
              <w:t xml:space="preserve">continuous, linear</w:t>
            </w:r>
          </w:p>
        </w:tc>
        <w:tc>
          <w:tcPr>
            <w:tcW w:type="dxa" w:w="2450"/>
            <w:shd w:fill="FFFFFF" w:val="clear"/>
            <w:tcMar>
              <w:top w:type="dxa" w:w="100"/>
              <w:left w:type="dxa" w:w="120"/>
              <w:bottom w:type="dxa" w:w="100"/>
              <w:right w:type="dxa" w:w="120"/>
            </w:tcMar>
            <w:vAlign w:val="center"/>
          </w:tcPr>
          <w:p>
            <w:r>
              <w:rPr>
                <w:b w:val="false"/>
                <w:bCs w:val="false"/>
                <w:color w:val="2B2B26"/>
                <w:sz w:val="20"/>
                <w:szCs w:val="20"/>
              </w:rPr>
              <w:t xml:space="preserve">linear</w:t>
            </w:r>
          </w:p>
        </w:tc>
        <w:tc>
          <w:tcPr>
            <w:tcW w:type="dxa" w:w="2700"/>
            <w:shd w:fill="FFFFFF" w:val="clear"/>
            <w:tcMar>
              <w:top w:type="dxa" w:w="100"/>
              <w:left w:type="dxa" w:w="120"/>
              <w:bottom w:type="dxa" w:w="100"/>
              <w:right w:type="dxa" w:w="120"/>
            </w:tcMar>
            <w:vAlign w:val="center"/>
          </w:tcPr>
          <w:p>
            <w:r>
              <w:rPr>
                <w:b w:val="false"/>
                <w:bCs w:val="false"/>
                <w:color w:val="2B2B26"/>
                <w:sz w:val="20"/>
                <w:szCs w:val="20"/>
              </w:rPr>
              <w:t xml:space="preserve">Indicates ongoing work, never implies false progress</w:t>
            </w:r>
          </w:p>
        </w:tc>
      </w:tr>
    </w:tbl>
    <w:p>
      <w:pPr>
        <w:pStyle w:val="ListParagraph"/>
        <w:numPr>
          <w:ilvl w:val="0"/>
          <w:numId w:val="2"/>
        </w:numPr>
        <w:spacing w:after="80"/>
      </w:pPr>
      <w:r>
        <w:rPr>
          <w:color w:val="2B2B26"/>
        </w:rPr>
        <w:t xml:space="preserve">No animation exceeds 300ms for a UI-level transition; longer feels sluggish in an operational tool.</w:t>
      </w:r>
    </w:p>
    <w:p>
      <w:pPr>
        <w:pStyle w:val="ListParagraph"/>
        <w:numPr>
          <w:ilvl w:val="0"/>
          <w:numId w:val="2"/>
        </w:numPr>
        <w:spacing w:after="80"/>
      </w:pPr>
      <w:r>
        <w:rPr>
          <w:color w:val="2B2B26"/>
        </w:rPr>
        <w:t xml:space="preserve">Respect the user's OS-level reduced-motion setting: transitions collapse to instant or fade-only, per Section 4.4.</w:t>
      </w:r>
    </w:p>
    <w:p>
      <w:pPr>
        <w:pStyle w:val="ListParagraph"/>
        <w:numPr>
          <w:ilvl w:val="0"/>
          <w:numId w:val="2"/>
        </w:numPr>
        <w:spacing w:after="80"/>
      </w:pPr>
      <w:r>
        <w:rPr>
          <w:color w:val="2B2B26"/>
        </w:rPr>
        <w:t xml:space="preserve">Avoid decorative animation entirely — no bouncing, spinning logos, or celebratory effects beyond a subtle, brief success confirmation.</w:t>
      </w:r>
    </w:p>
    <w:p>
      <w:r>
        <w:br w:type="page"/>
      </w:r>
    </w:p>
    <w:p>
      <w:pPr>
        <w:pStyle w:val="Heading1"/>
        <w:spacing w:after="240" w:before="480"/>
      </w:pPr>
      <w:r>
        <w:rPr>
          <w:b/>
          <w:bCs/>
          <w:color w:val="344E41"/>
        </w:rPr>
        <w:t xml:space="preserve">4. Accessibility Standards</w:t>
      </w:r>
    </w:p>
    <w:p>
      <w:pPr>
        <w:spacing w:after="160"/>
      </w:pPr>
      <w:r>
        <w:rPr>
          <w:i w:val="false"/>
          <w:iCs w:val="false"/>
          <w:color w:val="2B2B26"/>
        </w:rPr>
        <w:t xml:space="preserve">Accessibility is treated as a foundation, not a checklist applied at the end. It applies across every component and pattern documented in Volumes 2 and 3.</w:t>
      </w:r>
    </w:p>
    <w:p>
      <w:pPr>
        <w:pStyle w:val="Heading2"/>
        <w:spacing w:after="160" w:before="360"/>
      </w:pPr>
      <w:r>
        <w:rPr>
          <w:b/>
          <w:bCs/>
          <w:color w:val="344E41"/>
        </w:rPr>
        <w:t xml:space="preserve">4.1 Visual Accessibility</w:t>
      </w:r>
    </w:p>
    <w:p>
      <w:pPr>
        <w:pStyle w:val="ListParagraph"/>
        <w:numPr>
          <w:ilvl w:val="0"/>
          <w:numId w:val="2"/>
        </w:numPr>
        <w:spacing w:after="80"/>
      </w:pPr>
      <w:r>
        <w:rPr>
          <w:color w:val="2B2B26"/>
        </w:rPr>
        <w:t xml:space="preserve">Body text maintains WCAG AA contrast (4.5:1) against its background at minimum; large text (18px+/bold 14px+) maintains at least 3:1.</w:t>
      </w:r>
    </w:p>
    <w:p>
      <w:pPr>
        <w:pStyle w:val="ListParagraph"/>
        <w:numPr>
          <w:ilvl w:val="0"/>
          <w:numId w:val="2"/>
        </w:numPr>
        <w:spacing w:after="80"/>
      </w:pPr>
      <w:r>
        <w:rPr>
          <w:color w:val="2B2B26"/>
        </w:rPr>
        <w:t xml:space="preserve">Status is never communicated by color alone — always pair semantic color with an icon and a text label.</w:t>
      </w:r>
    </w:p>
    <w:p>
      <w:pPr>
        <w:pStyle w:val="ListParagraph"/>
        <w:numPr>
          <w:ilvl w:val="0"/>
          <w:numId w:val="2"/>
        </w:numPr>
        <w:spacing w:after="80"/>
      </w:pPr>
      <w:r>
        <w:rPr>
          <w:color w:val="2B2B26"/>
        </w:rPr>
        <w:t xml:space="preserve">Interface must remain legible for common forms of color blindness; do not rely on red/green distinction without a secondary cue.</w:t>
      </w:r>
    </w:p>
    <w:p>
      <w:pPr>
        <w:pStyle w:val="Heading2"/>
        <w:spacing w:after="160" w:before="360"/>
      </w:pPr>
      <w:r>
        <w:rPr>
          <w:b/>
          <w:bCs/>
          <w:color w:val="344E41"/>
        </w:rPr>
        <w:t xml:space="preserve">4.2 Interaction Accessibility</w:t>
      </w:r>
    </w:p>
    <w:p>
      <w:pPr>
        <w:pStyle w:val="ListParagraph"/>
        <w:numPr>
          <w:ilvl w:val="0"/>
          <w:numId w:val="2"/>
        </w:numPr>
        <w:spacing w:after="80"/>
      </w:pPr>
      <w:r>
        <w:rPr>
          <w:color w:val="2B2B26"/>
        </w:rPr>
        <w:t xml:space="preserve">All interactive elements are reachable and operable via keyboard alone, in a logical tab order.</w:t>
      </w:r>
    </w:p>
    <w:p>
      <w:pPr>
        <w:pStyle w:val="ListParagraph"/>
        <w:numPr>
          <w:ilvl w:val="0"/>
          <w:numId w:val="2"/>
        </w:numPr>
        <w:spacing w:after="80"/>
      </w:pPr>
      <w:r>
        <w:rPr>
          <w:color w:val="2B2B26"/>
        </w:rPr>
        <w:t xml:space="preserve">A visible focus ring in Primary color appears on every focusable element — never removed without an equivalent replacement.</w:t>
      </w:r>
    </w:p>
    <w:p>
      <w:pPr>
        <w:pStyle w:val="ListParagraph"/>
        <w:numPr>
          <w:ilvl w:val="0"/>
          <w:numId w:val="2"/>
        </w:numPr>
        <w:spacing w:after="80"/>
      </w:pPr>
      <w:r>
        <w:rPr>
          <w:color w:val="2B2B26"/>
        </w:rPr>
        <w:t xml:space="preserve">Minimum tap target: 44x44px on touch surfaces (POS tablets, mobile); 40px minimum on desktop with mouse input.</w:t>
      </w:r>
    </w:p>
    <w:p>
      <w:pPr>
        <w:pStyle w:val="ListParagraph"/>
        <w:numPr>
          <w:ilvl w:val="0"/>
          <w:numId w:val="2"/>
        </w:numPr>
        <w:spacing w:after="80"/>
      </w:pPr>
      <w:r>
        <w:rPr>
          <w:color w:val="2B2B26"/>
        </w:rPr>
        <w:t xml:space="preserve">Destructive actions require confirmation and are never triggered by a single accidental keystroke (e.g. Enter in a busy form).</w:t>
      </w:r>
    </w:p>
    <w:p>
      <w:pPr>
        <w:pStyle w:val="Heading2"/>
        <w:spacing w:after="160" w:before="360"/>
      </w:pPr>
      <w:r>
        <w:rPr>
          <w:b/>
          <w:bCs/>
          <w:color w:val="344E41"/>
        </w:rPr>
        <w:t xml:space="preserve">4.3 Content Accessibility</w:t>
      </w:r>
    </w:p>
    <w:p>
      <w:pPr>
        <w:pStyle w:val="ListParagraph"/>
        <w:numPr>
          <w:ilvl w:val="0"/>
          <w:numId w:val="2"/>
        </w:numPr>
        <w:spacing w:after="80"/>
      </w:pPr>
      <w:r>
        <w:rPr>
          <w:color w:val="2B2B26"/>
        </w:rPr>
        <w:t xml:space="preserve">Icon-only buttons carry an accessible label (e.g. aria-label) describing the action, not just the icon's appearance.</w:t>
      </w:r>
    </w:p>
    <w:p>
      <w:pPr>
        <w:pStyle w:val="ListParagraph"/>
        <w:numPr>
          <w:ilvl w:val="0"/>
          <w:numId w:val="2"/>
        </w:numPr>
        <w:spacing w:after="80"/>
      </w:pPr>
      <w:r>
        <w:rPr>
          <w:color w:val="2B2B26"/>
        </w:rPr>
        <w:t xml:space="preserve">Language stays plain and specific, consistent with Section 5; avoid jargon that assumes prior software experience.</w:t>
      </w:r>
    </w:p>
    <w:p>
      <w:pPr>
        <w:pStyle w:val="ListParagraph"/>
        <w:numPr>
          <w:ilvl w:val="0"/>
          <w:numId w:val="2"/>
        </w:numPr>
        <w:spacing w:after="80"/>
      </w:pPr>
      <w:r>
        <w:rPr>
          <w:color w:val="2B2B26"/>
        </w:rPr>
        <w:t xml:space="preserve">Error messages state what happened and what to do next — never a bare error code with no explanation.</w:t>
      </w:r>
    </w:p>
    <w:p>
      <w:pPr>
        <w:pStyle w:val="Heading2"/>
        <w:spacing w:after="160" w:before="360"/>
      </w:pPr>
      <w:r>
        <w:rPr>
          <w:b/>
          <w:bCs/>
          <w:color w:val="344E41"/>
        </w:rPr>
        <w:t xml:space="preserve">4.4 Motion Accessibility</w:t>
      </w:r>
    </w:p>
    <w:p>
      <w:pPr>
        <w:pStyle w:val="ListParagraph"/>
        <w:numPr>
          <w:ilvl w:val="0"/>
          <w:numId w:val="2"/>
        </w:numPr>
        <w:spacing w:after="80"/>
      </w:pPr>
      <w:r>
        <w:rPr>
          <w:color w:val="2B2B26"/>
        </w:rPr>
        <w:t xml:space="preserve">All non-essential motion respects prefers-reduced-motion: transitions fall back to an instant state change or a brief fade only.</w:t>
      </w:r>
    </w:p>
    <w:p>
      <w:pPr>
        <w:pStyle w:val="ListParagraph"/>
        <w:numPr>
          <w:ilvl w:val="0"/>
          <w:numId w:val="2"/>
        </w:numPr>
        <w:spacing w:after="80"/>
      </w:pPr>
      <w:r>
        <w:rPr>
          <w:color w:val="2B2B26"/>
        </w:rPr>
        <w:t xml:space="preserve">No motion pattern relies on animation alone to convey information that isn't also available statically (e.g. a status change must still show the new status text, not just animate to it).</w:t>
      </w:r>
    </w:p>
    <w:p>
      <w:r>
        <w:br w:type="page"/>
      </w:r>
    </w:p>
    <w:p>
      <w:pPr>
        <w:pStyle w:val="Heading1"/>
        <w:spacing w:after="240" w:before="480"/>
      </w:pPr>
      <w:r>
        <w:rPr>
          <w:b/>
          <w:bCs/>
          <w:color w:val="344E41"/>
        </w:rPr>
        <w:t xml:space="preserve">5. Naming &amp; Terminology Standards</w:t>
      </w:r>
    </w:p>
    <w:p>
      <w:pPr>
        <w:spacing w:after="160"/>
      </w:pPr>
      <w:r>
        <w:rPr>
          <w:i w:val="false"/>
          <w:iCs w:val="false"/>
          <w:color w:val="2B2B26"/>
        </w:rPr>
        <w:t xml:space="preserve">Consistent terminology reduces training time and prevents ambiguity across a multi-tenant system with several entity types and three distinct roles. This section is the shared vocabulary referenced by Volumes 2 and 3 — component and pattern names should draw from it rather than introducing synonyms.</w:t>
      </w:r>
    </w:p>
    <w:p>
      <w:pPr>
        <w:pStyle w:val="Heading2"/>
        <w:spacing w:after="160" w:before="360"/>
      </w:pPr>
      <w:r>
        <w:rPr>
          <w:b/>
          <w:bCs/>
          <w:color w:val="344E41"/>
        </w:rPr>
        <w:t xml:space="preserve">5.1 Entity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50"/>
      </w:tblGrid>
      <w:tr>
        <w:trPr>
          <w:tblHeader/>
        </w:trPr>
        <w:tc>
          <w:tcPr>
            <w:tcW w:type="dxa" w:w="1800"/>
            <w:shd w:fill="344E41" w:val="clear"/>
            <w:tcMar>
              <w:top w:type="dxa" w:w="100"/>
              <w:left w:type="dxa" w:w="120"/>
              <w:bottom w:type="dxa" w:w="100"/>
              <w:right w:type="dxa" w:w="120"/>
            </w:tcMar>
            <w:vAlign w:val="center"/>
          </w:tcPr>
          <w:p>
            <w:r>
              <w:rPr>
                <w:b/>
                <w:bCs/>
                <w:color w:val="FFFFFF"/>
                <w:sz w:val="20"/>
                <w:szCs w:val="20"/>
              </w:rPr>
              <w:t xml:space="preserve">Term</w:t>
            </w:r>
          </w:p>
        </w:tc>
        <w:tc>
          <w:tcPr>
            <w:tcW w:type="dxa" w:w="4400"/>
            <w:shd w:fill="344E41" w:val="clear"/>
            <w:tcMar>
              <w:top w:type="dxa" w:w="100"/>
              <w:left w:type="dxa" w:w="120"/>
              <w:bottom w:type="dxa" w:w="100"/>
              <w:right w:type="dxa" w:w="120"/>
            </w:tcMar>
            <w:vAlign w:val="center"/>
          </w:tcPr>
          <w:p>
            <w:r>
              <w:rPr>
                <w:b/>
                <w:bCs/>
                <w:color w:val="FFFFFF"/>
                <w:sz w:val="20"/>
                <w:szCs w:val="20"/>
              </w:rPr>
              <w:t xml:space="preserve">Definition</w:t>
            </w:r>
          </w:p>
        </w:tc>
        <w:tc>
          <w:tcPr>
            <w:tcW w:type="dxa" w:w="3150"/>
            <w:shd w:fill="344E41" w:val="clear"/>
            <w:tcMar>
              <w:top w:type="dxa" w:w="100"/>
              <w:left w:type="dxa" w:w="120"/>
              <w:bottom w:type="dxa" w:w="100"/>
              <w:right w:type="dxa" w:w="120"/>
            </w:tcMar>
            <w:vAlign w:val="center"/>
          </w:tcPr>
          <w:p>
            <w:r>
              <w:rPr>
                <w:b/>
                <w:bCs/>
                <w:color w:val="FFFFFF"/>
                <w:sz w:val="20"/>
                <w:szCs w:val="20"/>
              </w:rPr>
              <w:t xml:space="preserve">Do not use</w:t>
            </w:r>
          </w:p>
        </w:tc>
      </w:tr>
      <w:tr>
        <w:tc>
          <w:tcPr>
            <w:tcW w:type="dxa" w:w="1800"/>
            <w:shd w:fill="FFFFFF" w:val="clear"/>
            <w:tcMar>
              <w:top w:type="dxa" w:w="100"/>
              <w:left w:type="dxa" w:w="120"/>
              <w:bottom w:type="dxa" w:w="100"/>
              <w:right w:type="dxa" w:w="120"/>
            </w:tcMar>
            <w:vAlign w:val="center"/>
          </w:tcPr>
          <w:p>
            <w:r>
              <w:rPr>
                <w:b w:val="false"/>
                <w:bCs w:val="false"/>
                <w:color w:val="2B2B26"/>
                <w:sz w:val="20"/>
                <w:szCs w:val="20"/>
              </w:rPr>
              <w:t xml:space="preserve">Organization</w:t>
            </w:r>
          </w:p>
        </w:tc>
        <w:tc>
          <w:tcPr>
            <w:tcW w:type="dxa" w:w="4400"/>
            <w:shd w:fill="FFFFFF" w:val="clear"/>
            <w:tcMar>
              <w:top w:type="dxa" w:w="100"/>
              <w:left w:type="dxa" w:w="120"/>
              <w:bottom w:type="dxa" w:w="100"/>
              <w:right w:type="dxa" w:w="120"/>
            </w:tcMar>
            <w:vAlign w:val="center"/>
          </w:tcPr>
          <w:p>
            <w:r>
              <w:rPr>
                <w:b w:val="false"/>
                <w:bCs w:val="false"/>
                <w:color w:val="2B2B26"/>
                <w:sz w:val="20"/>
                <w:szCs w:val="20"/>
              </w:rPr>
              <w:t xml:space="preserve">The top-level tenant account — may own multiple Businesses</w:t>
            </w:r>
          </w:p>
        </w:tc>
        <w:tc>
          <w:tcPr>
            <w:tcW w:type="dxa" w:w="3150"/>
            <w:shd w:fill="FFFFFF" w:val="clear"/>
            <w:tcMar>
              <w:top w:type="dxa" w:w="100"/>
              <w:left w:type="dxa" w:w="120"/>
              <w:bottom w:type="dxa" w:w="100"/>
              <w:right w:type="dxa" w:w="120"/>
            </w:tcMar>
            <w:vAlign w:val="center"/>
          </w:tcPr>
          <w:p>
            <w:r>
              <w:rPr>
                <w:b w:val="false"/>
                <w:bCs w:val="false"/>
                <w:color w:val="2B2B26"/>
                <w:sz w:val="20"/>
                <w:szCs w:val="20"/>
              </w:rPr>
              <w:t xml:space="preserve">Company, Account (ambiguous with user account)</w:t>
            </w:r>
          </w:p>
        </w:tc>
      </w:tr>
      <w:tr>
        <w:tc>
          <w:tcPr>
            <w:tcW w:type="dxa" w:w="1800"/>
            <w:shd w:fill="F1EEE3" w:val="clear"/>
            <w:tcMar>
              <w:top w:type="dxa" w:w="100"/>
              <w:left w:type="dxa" w:w="120"/>
              <w:bottom w:type="dxa" w:w="100"/>
              <w:right w:type="dxa" w:w="120"/>
            </w:tcMar>
            <w:vAlign w:val="center"/>
          </w:tcPr>
          <w:p>
            <w:r>
              <w:rPr>
                <w:b w:val="false"/>
                <w:bCs w:val="false"/>
                <w:color w:val="2B2B26"/>
                <w:sz w:val="20"/>
                <w:szCs w:val="20"/>
              </w:rPr>
              <w:t xml:space="preserve">Business</w:t>
            </w:r>
          </w:p>
        </w:tc>
        <w:tc>
          <w:tcPr>
            <w:tcW w:type="dxa" w:w="4400"/>
            <w:shd w:fill="F1EEE3" w:val="clear"/>
            <w:tcMar>
              <w:top w:type="dxa" w:w="100"/>
              <w:left w:type="dxa" w:w="120"/>
              <w:bottom w:type="dxa" w:w="100"/>
              <w:right w:type="dxa" w:w="120"/>
            </w:tcMar>
            <w:vAlign w:val="center"/>
          </w:tcPr>
          <w:p>
            <w:r>
              <w:rPr>
                <w:b w:val="false"/>
                <w:bCs w:val="false"/>
                <w:color w:val="2B2B26"/>
                <w:sz w:val="20"/>
                <w:szCs w:val="20"/>
              </w:rPr>
              <w:t xml:space="preserve">A single retail operation within an Organization (e.g. one supermarket chain)</w:t>
            </w:r>
          </w:p>
        </w:tc>
        <w:tc>
          <w:tcPr>
            <w:tcW w:type="dxa" w:w="3150"/>
            <w:shd w:fill="F1EEE3" w:val="clear"/>
            <w:tcMar>
              <w:top w:type="dxa" w:w="100"/>
              <w:left w:type="dxa" w:w="120"/>
              <w:bottom w:type="dxa" w:w="100"/>
              <w:right w:type="dxa" w:w="120"/>
            </w:tcMar>
            <w:vAlign w:val="center"/>
          </w:tcPr>
          <w:p>
            <w:r>
              <w:rPr>
                <w:b w:val="false"/>
                <w:bCs w:val="false"/>
                <w:color w:val="2B2B26"/>
                <w:sz w:val="20"/>
                <w:szCs w:val="20"/>
              </w:rPr>
              <w:t xml:space="preserve">Store (reserve for a physical Branch), Shop</w:t>
            </w:r>
          </w:p>
        </w:tc>
      </w:tr>
      <w:tr>
        <w:tc>
          <w:tcPr>
            <w:tcW w:type="dxa" w:w="1800"/>
            <w:shd w:fill="FFFFFF" w:val="clear"/>
            <w:tcMar>
              <w:top w:type="dxa" w:w="100"/>
              <w:left w:type="dxa" w:w="120"/>
              <w:bottom w:type="dxa" w:w="100"/>
              <w:right w:type="dxa" w:w="120"/>
            </w:tcMar>
            <w:vAlign w:val="center"/>
          </w:tcPr>
          <w:p>
            <w:r>
              <w:rPr>
                <w:b w:val="false"/>
                <w:bCs w:val="false"/>
                <w:color w:val="2B2B26"/>
                <w:sz w:val="20"/>
                <w:szCs w:val="20"/>
              </w:rPr>
              <w:t xml:space="preserve">Branch</w:t>
            </w:r>
          </w:p>
        </w:tc>
        <w:tc>
          <w:tcPr>
            <w:tcW w:type="dxa" w:w="4400"/>
            <w:shd w:fill="FFFFFF" w:val="clear"/>
            <w:tcMar>
              <w:top w:type="dxa" w:w="100"/>
              <w:left w:type="dxa" w:w="120"/>
              <w:bottom w:type="dxa" w:w="100"/>
              <w:right w:type="dxa" w:w="120"/>
            </w:tcMar>
            <w:vAlign w:val="center"/>
          </w:tcPr>
          <w:p>
            <w:r>
              <w:rPr>
                <w:b w:val="false"/>
                <w:bCs w:val="false"/>
                <w:color w:val="2B2B26"/>
                <w:sz w:val="20"/>
                <w:szCs w:val="20"/>
              </w:rPr>
              <w:t xml:space="preserve">A single physical location belonging to a Business</w:t>
            </w:r>
          </w:p>
        </w:tc>
        <w:tc>
          <w:tcPr>
            <w:tcW w:type="dxa" w:w="3150"/>
            <w:shd w:fill="FFFFFF" w:val="clear"/>
            <w:tcMar>
              <w:top w:type="dxa" w:w="100"/>
              <w:left w:type="dxa" w:w="120"/>
              <w:bottom w:type="dxa" w:w="100"/>
              <w:right w:type="dxa" w:w="120"/>
            </w:tcMar>
            <w:vAlign w:val="center"/>
          </w:tcPr>
          <w:p>
            <w:r>
              <w:rPr>
                <w:b w:val="false"/>
                <w:bCs w:val="false"/>
                <w:color w:val="2B2B26"/>
                <w:sz w:val="20"/>
                <w:szCs w:val="20"/>
              </w:rPr>
              <w:t xml:space="preserve">Outlet, Store, Site — pick one and use only "Branch"</w:t>
            </w:r>
          </w:p>
        </w:tc>
      </w:tr>
      <w:tr>
        <w:tc>
          <w:tcPr>
            <w:tcW w:type="dxa" w:w="1800"/>
            <w:shd w:fill="F1EEE3" w:val="clear"/>
            <w:tcMar>
              <w:top w:type="dxa" w:w="100"/>
              <w:left w:type="dxa" w:w="120"/>
              <w:bottom w:type="dxa" w:w="100"/>
              <w:right w:type="dxa" w:w="120"/>
            </w:tcMar>
            <w:vAlign w:val="center"/>
          </w:tcPr>
          <w:p>
            <w:r>
              <w:rPr>
                <w:b w:val="false"/>
                <w:bCs w:val="false"/>
                <w:color w:val="2B2B26"/>
                <w:sz w:val="20"/>
                <w:szCs w:val="20"/>
              </w:rPr>
              <w:t xml:space="preserve">Employee</w:t>
            </w:r>
          </w:p>
        </w:tc>
        <w:tc>
          <w:tcPr>
            <w:tcW w:type="dxa" w:w="4400"/>
            <w:shd w:fill="F1EEE3" w:val="clear"/>
            <w:tcMar>
              <w:top w:type="dxa" w:w="100"/>
              <w:left w:type="dxa" w:w="120"/>
              <w:bottom w:type="dxa" w:w="100"/>
              <w:right w:type="dxa" w:w="120"/>
            </w:tcMar>
            <w:vAlign w:val="center"/>
          </w:tcPr>
          <w:p>
            <w:r>
              <w:rPr>
                <w:b w:val="false"/>
                <w:bCs w:val="false"/>
                <w:color w:val="2B2B26"/>
                <w:sz w:val="20"/>
                <w:szCs w:val="20"/>
              </w:rPr>
              <w:t xml:space="preserve">Any user account with a role at a Business (Owner, Manager, or Cashier)</w:t>
            </w:r>
          </w:p>
        </w:tc>
        <w:tc>
          <w:tcPr>
            <w:tcW w:type="dxa" w:w="3150"/>
            <w:shd w:fill="F1EEE3" w:val="clear"/>
            <w:tcMar>
              <w:top w:type="dxa" w:w="100"/>
              <w:left w:type="dxa" w:w="120"/>
              <w:bottom w:type="dxa" w:w="100"/>
              <w:right w:type="dxa" w:w="120"/>
            </w:tcMar>
            <w:vAlign w:val="center"/>
          </w:tcPr>
          <w:p>
            <w:r>
              <w:rPr>
                <w:b w:val="false"/>
                <w:bCs w:val="false"/>
                <w:color w:val="2B2B26"/>
                <w:sz w:val="20"/>
                <w:szCs w:val="20"/>
              </w:rPr>
              <w:t xml:space="preserve">Staff member, User (too generic in UI copy)</w:t>
            </w:r>
          </w:p>
        </w:tc>
      </w:tr>
      <w:tr>
        <w:tc>
          <w:tcPr>
            <w:tcW w:type="dxa" w:w="1800"/>
            <w:shd w:fill="FFFFFF" w:val="clear"/>
            <w:tcMar>
              <w:top w:type="dxa" w:w="100"/>
              <w:left w:type="dxa" w:w="120"/>
              <w:bottom w:type="dxa" w:w="100"/>
              <w:right w:type="dxa" w:w="120"/>
            </w:tcMar>
            <w:vAlign w:val="center"/>
          </w:tcPr>
          <w:p>
            <w:r>
              <w:rPr>
                <w:b w:val="false"/>
                <w:bCs w:val="false"/>
                <w:color w:val="2B2B26"/>
                <w:sz w:val="20"/>
                <w:szCs w:val="20"/>
              </w:rPr>
              <w:t xml:space="preserve">Terminal</w:t>
            </w:r>
          </w:p>
        </w:tc>
        <w:tc>
          <w:tcPr>
            <w:tcW w:type="dxa" w:w="4400"/>
            <w:shd w:fill="FFFFFF" w:val="clear"/>
            <w:tcMar>
              <w:top w:type="dxa" w:w="100"/>
              <w:left w:type="dxa" w:w="120"/>
              <w:bottom w:type="dxa" w:w="100"/>
              <w:right w:type="dxa" w:w="120"/>
            </w:tcMar>
            <w:vAlign w:val="center"/>
          </w:tcPr>
          <w:p>
            <w:r>
              <w:rPr>
                <w:b w:val="false"/>
                <w:bCs w:val="false"/>
                <w:color w:val="2B2B26"/>
                <w:sz w:val="20"/>
                <w:szCs w:val="20"/>
              </w:rPr>
              <w:t xml:space="preserve">A specific POS device/session at a Branch</w:t>
            </w:r>
          </w:p>
        </w:tc>
        <w:tc>
          <w:tcPr>
            <w:tcW w:type="dxa" w:w="3150"/>
            <w:shd w:fill="FFFFFF" w:val="clear"/>
            <w:tcMar>
              <w:top w:type="dxa" w:w="100"/>
              <w:left w:type="dxa" w:w="120"/>
              <w:bottom w:type="dxa" w:w="100"/>
              <w:right w:type="dxa" w:w="120"/>
            </w:tcMar>
            <w:vAlign w:val="center"/>
          </w:tcPr>
          <w:p>
            <w:r>
              <w:rPr>
                <w:b w:val="false"/>
                <w:bCs w:val="false"/>
                <w:color w:val="2B2B26"/>
                <w:sz w:val="20"/>
                <w:szCs w:val="20"/>
              </w:rPr>
              <w:t xml:space="preserve">Till, Register (acceptable only in market-facing copy, not UI labels)</w:t>
            </w:r>
          </w:p>
        </w:tc>
      </w:tr>
    </w:tbl>
    <w:p>
      <w:pPr>
        <w:pStyle w:val="Heading2"/>
        <w:spacing w:after="160" w:before="360"/>
      </w:pPr>
      <w:r>
        <w:rPr>
          <w:b/>
          <w:bCs/>
          <w:color w:val="344E41"/>
        </w:rPr>
        <w:t xml:space="preserve">5.2 Action Verbs</w:t>
      </w:r>
    </w:p>
    <w:p>
      <w:pPr>
        <w:spacing w:after="160"/>
      </w:pPr>
      <w:r>
        <w:rPr>
          <w:i w:val="false"/>
          <w:iCs w:val="false"/>
          <w:color w:val="2B2B26"/>
        </w:rPr>
        <w:t xml:space="preserve">Each verb below has one specific meaning. Do not substitute a near-synonym for variety — consistency of verb choice lets users predict what an action does before they take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50"/>
      </w:tblGrid>
      <w:tr>
        <w:trPr>
          <w:tblHeader/>
        </w:trPr>
        <w:tc>
          <w:tcPr>
            <w:tcW w:type="dxa" w:w="1600"/>
            <w:shd w:fill="344E41" w:val="clear"/>
            <w:tcMar>
              <w:top w:type="dxa" w:w="100"/>
              <w:left w:type="dxa" w:w="120"/>
              <w:bottom w:type="dxa" w:w="100"/>
              <w:right w:type="dxa" w:w="120"/>
            </w:tcMar>
            <w:vAlign w:val="center"/>
          </w:tcPr>
          <w:p>
            <w:r>
              <w:rPr>
                <w:b/>
                <w:bCs/>
                <w:color w:val="FFFFFF"/>
                <w:sz w:val="20"/>
                <w:szCs w:val="20"/>
              </w:rPr>
              <w:t xml:space="preserve">Verb</w:t>
            </w:r>
          </w:p>
        </w:tc>
        <w:tc>
          <w:tcPr>
            <w:tcW w:type="dxa" w:w="4400"/>
            <w:shd w:fill="344E41" w:val="clear"/>
            <w:tcMar>
              <w:top w:type="dxa" w:w="100"/>
              <w:left w:type="dxa" w:w="120"/>
              <w:bottom w:type="dxa" w:w="100"/>
              <w:right w:type="dxa" w:w="120"/>
            </w:tcMar>
            <w:vAlign w:val="center"/>
          </w:tcPr>
          <w:p>
            <w:r>
              <w:rPr>
                <w:b/>
                <w:bCs/>
                <w:color w:val="FFFFFF"/>
                <w:sz w:val="20"/>
                <w:szCs w:val="20"/>
              </w:rPr>
              <w:t xml:space="preserve">Meaning</w:t>
            </w:r>
          </w:p>
        </w:tc>
        <w:tc>
          <w:tcPr>
            <w:tcW w:type="dxa" w:w="3350"/>
            <w:shd w:fill="344E41" w:val="clear"/>
            <w:tcMar>
              <w:top w:type="dxa" w:w="100"/>
              <w:left w:type="dxa" w:w="120"/>
              <w:bottom w:type="dxa" w:w="100"/>
              <w:right w:type="dxa" w:w="120"/>
            </w:tcMar>
            <w:vAlign w:val="center"/>
          </w:tcPr>
          <w:p>
            <w:r>
              <w:rPr>
                <w:b/>
                <w:bCs/>
                <w:color w:val="FFFFFF"/>
                <w:sz w:val="20"/>
                <w:szCs w:val="20"/>
              </w:rPr>
              <w:t xml:space="preserve">Example</w:t>
            </w:r>
          </w:p>
        </w:tc>
      </w:tr>
      <w:tr>
        <w:tc>
          <w:tcPr>
            <w:tcW w:type="dxa" w:w="1600"/>
            <w:shd w:fill="FFFFFF" w:val="clear"/>
            <w:tcMar>
              <w:top w:type="dxa" w:w="100"/>
              <w:left w:type="dxa" w:w="120"/>
              <w:bottom w:type="dxa" w:w="100"/>
              <w:right w:type="dxa" w:w="120"/>
            </w:tcMar>
            <w:vAlign w:val="center"/>
          </w:tcPr>
          <w:p>
            <w:r>
              <w:rPr>
                <w:b w:val="false"/>
                <w:bCs w:val="false"/>
                <w:color w:val="2B2B26"/>
                <w:sz w:val="20"/>
                <w:szCs w:val="20"/>
              </w:rPr>
              <w:t xml:space="preserve">Add</w:t>
            </w:r>
          </w:p>
        </w:tc>
        <w:tc>
          <w:tcPr>
            <w:tcW w:type="dxa" w:w="4400"/>
            <w:shd w:fill="FFFFFF" w:val="clear"/>
            <w:tcMar>
              <w:top w:type="dxa" w:w="100"/>
              <w:left w:type="dxa" w:w="120"/>
              <w:bottom w:type="dxa" w:w="100"/>
              <w:right w:type="dxa" w:w="120"/>
            </w:tcMar>
            <w:vAlign w:val="center"/>
          </w:tcPr>
          <w:p>
            <w:r>
              <w:rPr>
                <w:b w:val="false"/>
                <w:bCs w:val="false"/>
                <w:color w:val="2B2B26"/>
                <w:sz w:val="20"/>
                <w:szCs w:val="20"/>
              </w:rPr>
              <w:t xml:space="preserve">Introduce a new record via a simple, low-friction action</w:t>
            </w:r>
          </w:p>
        </w:tc>
        <w:tc>
          <w:tcPr>
            <w:tcW w:type="dxa" w:w="3350"/>
            <w:shd w:fill="FFFFFF" w:val="clear"/>
            <w:tcMar>
              <w:top w:type="dxa" w:w="100"/>
              <w:left w:type="dxa" w:w="120"/>
              <w:bottom w:type="dxa" w:w="100"/>
              <w:right w:type="dxa" w:w="120"/>
            </w:tcMar>
            <w:vAlign w:val="center"/>
          </w:tcPr>
          <w:p>
            <w:r>
              <w:rPr>
                <w:b w:val="false"/>
                <w:bCs w:val="false"/>
                <w:color w:val="2B2B26"/>
                <w:sz w:val="20"/>
                <w:szCs w:val="20"/>
              </w:rPr>
              <w:t xml:space="preserve">Add product to cart</w:t>
            </w:r>
          </w:p>
        </w:tc>
      </w:tr>
      <w:tr>
        <w:tc>
          <w:tcPr>
            <w:tcW w:type="dxa" w:w="1600"/>
            <w:shd w:fill="F1EEE3" w:val="clear"/>
            <w:tcMar>
              <w:top w:type="dxa" w:w="100"/>
              <w:left w:type="dxa" w:w="120"/>
              <w:bottom w:type="dxa" w:w="100"/>
              <w:right w:type="dxa" w:w="120"/>
            </w:tcMar>
            <w:vAlign w:val="center"/>
          </w:tcPr>
          <w:p>
            <w:r>
              <w:rPr>
                <w:b w:val="false"/>
                <w:bCs w:val="false"/>
                <w:color w:val="2B2B26"/>
                <w:sz w:val="20"/>
                <w:szCs w:val="20"/>
              </w:rPr>
              <w:t xml:space="preserve">Create</w:t>
            </w:r>
          </w:p>
        </w:tc>
        <w:tc>
          <w:tcPr>
            <w:tcW w:type="dxa" w:w="4400"/>
            <w:shd w:fill="F1EEE3" w:val="clear"/>
            <w:tcMar>
              <w:top w:type="dxa" w:w="100"/>
              <w:left w:type="dxa" w:w="120"/>
              <w:bottom w:type="dxa" w:w="100"/>
              <w:right w:type="dxa" w:w="120"/>
            </w:tcMar>
            <w:vAlign w:val="center"/>
          </w:tcPr>
          <w:p>
            <w:r>
              <w:rPr>
                <w:b w:val="false"/>
                <w:bCs w:val="false"/>
                <w:color w:val="2B2B26"/>
                <w:sz w:val="20"/>
                <w:szCs w:val="20"/>
              </w:rPr>
              <w:t xml:space="preserve">Start a new record through a fuller form or flow</w:t>
            </w:r>
          </w:p>
        </w:tc>
        <w:tc>
          <w:tcPr>
            <w:tcW w:type="dxa" w:w="3350"/>
            <w:shd w:fill="F1EEE3" w:val="clear"/>
            <w:tcMar>
              <w:top w:type="dxa" w:w="100"/>
              <w:left w:type="dxa" w:w="120"/>
              <w:bottom w:type="dxa" w:w="100"/>
              <w:right w:type="dxa" w:w="120"/>
            </w:tcMar>
            <w:vAlign w:val="center"/>
          </w:tcPr>
          <w:p>
            <w:r>
              <w:rPr>
                <w:b w:val="false"/>
                <w:bCs w:val="false"/>
                <w:color w:val="2B2B26"/>
                <w:sz w:val="20"/>
                <w:szCs w:val="20"/>
              </w:rPr>
              <w:t xml:space="preserve">Create employee account</w:t>
            </w:r>
          </w:p>
        </w:tc>
      </w:tr>
      <w:tr>
        <w:tc>
          <w:tcPr>
            <w:tcW w:type="dxa" w:w="1600"/>
            <w:shd w:fill="FFFFFF" w:val="clear"/>
            <w:tcMar>
              <w:top w:type="dxa" w:w="100"/>
              <w:left w:type="dxa" w:w="120"/>
              <w:bottom w:type="dxa" w:w="100"/>
              <w:right w:type="dxa" w:w="120"/>
            </w:tcMar>
            <w:vAlign w:val="center"/>
          </w:tcPr>
          <w:p>
            <w:r>
              <w:rPr>
                <w:b w:val="false"/>
                <w:bCs w:val="false"/>
                <w:color w:val="2B2B26"/>
                <w:sz w:val="20"/>
                <w:szCs w:val="20"/>
              </w:rPr>
              <w:t xml:space="preserve">Remove</w:t>
            </w:r>
          </w:p>
        </w:tc>
        <w:tc>
          <w:tcPr>
            <w:tcW w:type="dxa" w:w="4400"/>
            <w:shd w:fill="FFFFFF" w:val="clear"/>
            <w:tcMar>
              <w:top w:type="dxa" w:w="100"/>
              <w:left w:type="dxa" w:w="120"/>
              <w:bottom w:type="dxa" w:w="100"/>
              <w:right w:type="dxa" w:w="120"/>
            </w:tcMar>
            <w:vAlign w:val="center"/>
          </w:tcPr>
          <w:p>
            <w:r>
              <w:rPr>
                <w:b w:val="false"/>
                <w:bCs w:val="false"/>
                <w:color w:val="2B2B26"/>
                <w:sz w:val="20"/>
                <w:szCs w:val="20"/>
              </w:rPr>
              <w:t xml:space="preserve">Take something out of a temporary or working context (reversible)</w:t>
            </w:r>
          </w:p>
        </w:tc>
        <w:tc>
          <w:tcPr>
            <w:tcW w:type="dxa" w:w="3350"/>
            <w:shd w:fill="FFFFFF" w:val="clear"/>
            <w:tcMar>
              <w:top w:type="dxa" w:w="100"/>
              <w:left w:type="dxa" w:w="120"/>
              <w:bottom w:type="dxa" w:w="100"/>
              <w:right w:type="dxa" w:w="120"/>
            </w:tcMar>
            <w:vAlign w:val="center"/>
          </w:tcPr>
          <w:p>
            <w:r>
              <w:rPr>
                <w:b w:val="false"/>
                <w:bCs w:val="false"/>
                <w:color w:val="2B2B26"/>
                <w:sz w:val="20"/>
                <w:szCs w:val="20"/>
              </w:rPr>
              <w:t xml:space="preserve">Remove item from cart</w:t>
            </w:r>
          </w:p>
        </w:tc>
      </w:tr>
      <w:tr>
        <w:tc>
          <w:tcPr>
            <w:tcW w:type="dxa" w:w="1600"/>
            <w:shd w:fill="F1EEE3" w:val="clear"/>
            <w:tcMar>
              <w:top w:type="dxa" w:w="100"/>
              <w:left w:type="dxa" w:w="120"/>
              <w:bottom w:type="dxa" w:w="100"/>
              <w:right w:type="dxa" w:w="120"/>
            </w:tcMar>
            <w:vAlign w:val="center"/>
          </w:tcPr>
          <w:p>
            <w:r>
              <w:rPr>
                <w:b w:val="false"/>
                <w:bCs w:val="false"/>
                <w:color w:val="2B2B26"/>
                <w:sz w:val="20"/>
                <w:szCs w:val="20"/>
              </w:rPr>
              <w:t xml:space="preserve">Delete</w:t>
            </w:r>
          </w:p>
        </w:tc>
        <w:tc>
          <w:tcPr>
            <w:tcW w:type="dxa" w:w="4400"/>
            <w:shd w:fill="F1EEE3" w:val="clear"/>
            <w:tcMar>
              <w:top w:type="dxa" w:w="100"/>
              <w:left w:type="dxa" w:w="120"/>
              <w:bottom w:type="dxa" w:w="100"/>
              <w:right w:type="dxa" w:w="120"/>
            </w:tcMar>
            <w:vAlign w:val="center"/>
          </w:tcPr>
          <w:p>
            <w:r>
              <w:rPr>
                <w:b w:val="false"/>
                <w:bCs w:val="false"/>
                <w:color w:val="2B2B26"/>
                <w:sz w:val="20"/>
                <w:szCs w:val="20"/>
              </w:rPr>
              <w:t xml:space="preserve">Permanently destroy a persisted record (irreversible, always confirmed)</w:t>
            </w:r>
          </w:p>
        </w:tc>
        <w:tc>
          <w:tcPr>
            <w:tcW w:type="dxa" w:w="3350"/>
            <w:shd w:fill="F1EEE3" w:val="clear"/>
            <w:tcMar>
              <w:top w:type="dxa" w:w="100"/>
              <w:left w:type="dxa" w:w="120"/>
              <w:bottom w:type="dxa" w:w="100"/>
              <w:right w:type="dxa" w:w="120"/>
            </w:tcMar>
            <w:vAlign w:val="center"/>
          </w:tcPr>
          <w:p>
            <w:r>
              <w:rPr>
                <w:b w:val="false"/>
                <w:bCs w:val="false"/>
                <w:color w:val="2B2B26"/>
                <w:sz w:val="20"/>
                <w:szCs w:val="20"/>
              </w:rPr>
              <w:t xml:space="preserve">Delete product</w:t>
            </w:r>
          </w:p>
        </w:tc>
      </w:tr>
      <w:tr>
        <w:tc>
          <w:tcPr>
            <w:tcW w:type="dxa" w:w="1600"/>
            <w:shd w:fill="FFFFFF" w:val="clear"/>
            <w:tcMar>
              <w:top w:type="dxa" w:w="100"/>
              <w:left w:type="dxa" w:w="120"/>
              <w:bottom w:type="dxa" w:w="100"/>
              <w:right w:type="dxa" w:w="120"/>
            </w:tcMar>
            <w:vAlign w:val="center"/>
          </w:tcPr>
          <w:p>
            <w:r>
              <w:rPr>
                <w:b w:val="false"/>
                <w:bCs w:val="false"/>
                <w:color w:val="2B2B26"/>
                <w:sz w:val="20"/>
                <w:szCs w:val="20"/>
              </w:rPr>
              <w:t xml:space="preserve">Void</w:t>
            </w:r>
          </w:p>
        </w:tc>
        <w:tc>
          <w:tcPr>
            <w:tcW w:type="dxa" w:w="4400"/>
            <w:shd w:fill="FFFFFF" w:val="clear"/>
            <w:tcMar>
              <w:top w:type="dxa" w:w="100"/>
              <w:left w:type="dxa" w:w="120"/>
              <w:bottom w:type="dxa" w:w="100"/>
              <w:right w:type="dxa" w:w="120"/>
            </w:tcMar>
            <w:vAlign w:val="center"/>
          </w:tcPr>
          <w:p>
            <w:r>
              <w:rPr>
                <w:b w:val="false"/>
                <w:bCs w:val="false"/>
                <w:color w:val="2B2B26"/>
                <w:sz w:val="20"/>
                <w:szCs w:val="20"/>
              </w:rPr>
              <w:t xml:space="preserve">Cancel a completed transaction while preserving an audit trail</w:t>
            </w:r>
          </w:p>
        </w:tc>
        <w:tc>
          <w:tcPr>
            <w:tcW w:type="dxa" w:w="3350"/>
            <w:shd w:fill="FFFFFF" w:val="clear"/>
            <w:tcMar>
              <w:top w:type="dxa" w:w="100"/>
              <w:left w:type="dxa" w:w="120"/>
              <w:bottom w:type="dxa" w:w="100"/>
              <w:right w:type="dxa" w:w="120"/>
            </w:tcMar>
            <w:vAlign w:val="center"/>
          </w:tcPr>
          <w:p>
            <w:r>
              <w:rPr>
                <w:b w:val="false"/>
                <w:bCs w:val="false"/>
                <w:color w:val="2B2B26"/>
                <w:sz w:val="20"/>
                <w:szCs w:val="20"/>
              </w:rPr>
              <w:t xml:space="preserve">Void sale</w:t>
            </w:r>
          </w:p>
        </w:tc>
      </w:tr>
      <w:tr>
        <w:tc>
          <w:tcPr>
            <w:tcW w:type="dxa" w:w="1600"/>
            <w:shd w:fill="F1EEE3" w:val="clear"/>
            <w:tcMar>
              <w:top w:type="dxa" w:w="100"/>
              <w:left w:type="dxa" w:w="120"/>
              <w:bottom w:type="dxa" w:w="100"/>
              <w:right w:type="dxa" w:w="120"/>
            </w:tcMar>
            <w:vAlign w:val="center"/>
          </w:tcPr>
          <w:p>
            <w:r>
              <w:rPr>
                <w:b w:val="false"/>
                <w:bCs w:val="false"/>
                <w:color w:val="2B2B26"/>
                <w:sz w:val="20"/>
                <w:szCs w:val="20"/>
              </w:rPr>
              <w:t xml:space="preserve">Archive</w:t>
            </w:r>
          </w:p>
        </w:tc>
        <w:tc>
          <w:tcPr>
            <w:tcW w:type="dxa" w:w="4400"/>
            <w:shd w:fill="F1EEE3" w:val="clear"/>
            <w:tcMar>
              <w:top w:type="dxa" w:w="100"/>
              <w:left w:type="dxa" w:w="120"/>
              <w:bottom w:type="dxa" w:w="100"/>
              <w:right w:type="dxa" w:w="120"/>
            </w:tcMar>
            <w:vAlign w:val="center"/>
          </w:tcPr>
          <w:p>
            <w:r>
              <w:rPr>
                <w:b w:val="false"/>
                <w:bCs w:val="false"/>
                <w:color w:val="2B2B26"/>
                <w:sz w:val="20"/>
                <w:szCs w:val="20"/>
              </w:rPr>
              <w:t xml:space="preserve">Retire a record from active use without deleting its history</w:t>
            </w:r>
          </w:p>
        </w:tc>
        <w:tc>
          <w:tcPr>
            <w:tcW w:type="dxa" w:w="3350"/>
            <w:shd w:fill="F1EEE3" w:val="clear"/>
            <w:tcMar>
              <w:top w:type="dxa" w:w="100"/>
              <w:left w:type="dxa" w:w="120"/>
              <w:bottom w:type="dxa" w:w="100"/>
              <w:right w:type="dxa" w:w="120"/>
            </w:tcMar>
            <w:vAlign w:val="center"/>
          </w:tcPr>
          <w:p>
            <w:r>
              <w:rPr>
                <w:b w:val="false"/>
                <w:bCs w:val="false"/>
                <w:color w:val="2B2B26"/>
                <w:sz w:val="20"/>
                <w:szCs w:val="20"/>
              </w:rPr>
              <w:t xml:space="preserve">Archive branch</w:t>
            </w:r>
          </w:p>
        </w:tc>
      </w:tr>
    </w:tbl>
    <w:p>
      <w:pPr>
        <w:pStyle w:val="Heading2"/>
        <w:spacing w:after="160" w:before="360"/>
      </w:pPr>
      <w:r>
        <w:rPr>
          <w:b/>
          <w:bCs/>
          <w:color w:val="344E41"/>
        </w:rPr>
        <w:t xml:space="preserve">5.3 Naming Patterns</w:t>
      </w:r>
    </w:p>
    <w:p>
      <w:pPr>
        <w:pStyle w:val="ListParagraph"/>
        <w:numPr>
          <w:ilvl w:val="0"/>
          <w:numId w:val="2"/>
        </w:numPr>
        <w:spacing w:after="80"/>
      </w:pPr>
      <w:r>
        <w:rPr>
          <w:color w:val="2B2B26"/>
        </w:rPr>
        <w:t xml:space="preserve">Page and module titles are nouns, not verbs: "Inventory", not "Manage Inventory".</w:t>
      </w:r>
    </w:p>
    <w:p>
      <w:pPr>
        <w:pStyle w:val="ListParagraph"/>
        <w:numPr>
          <w:ilvl w:val="0"/>
          <w:numId w:val="2"/>
        </w:numPr>
        <w:spacing w:after="80"/>
      </w:pPr>
      <w:r>
        <w:rPr>
          <w:color w:val="2B2B26"/>
        </w:rPr>
        <w:t xml:space="preserve">Button labels are verbs, not phrases: "Save", not "Click to Save" or "Submit Form".</w:t>
      </w:r>
    </w:p>
    <w:p>
      <w:pPr>
        <w:pStyle w:val="ListParagraph"/>
        <w:numPr>
          <w:ilvl w:val="0"/>
          <w:numId w:val="2"/>
        </w:numPr>
        <w:spacing w:after="80"/>
      </w:pPr>
      <w:r>
        <w:rPr>
          <w:color w:val="2B2B26"/>
        </w:rPr>
        <w:t xml:space="preserve">Status names are short, single- or two-word adjectives or nouns: "Low Stock", "Pending", "Voided" — full sentences never appear inside a status badge.</w:t>
      </w:r>
    </w:p>
    <w:p>
      <w:pPr>
        <w:pStyle w:val="ListParagraph"/>
        <w:numPr>
          <w:ilvl w:val="0"/>
          <w:numId w:val="2"/>
        </w:numPr>
        <w:spacing w:after="80"/>
      </w:pPr>
      <w:r>
        <w:rPr>
          <w:color w:val="2B2B26"/>
        </w:rPr>
        <w:t xml:space="preserve">Card and section titles use title case sparingly — sentence case is the default across the product for a calmer, less corporate tone.</w:t>
      </w:r>
    </w:p>
    <w:p>
      <w:r>
        <w:br w:type="page"/>
      </w:r>
    </w:p>
    <w:p>
      <w:pPr>
        <w:pStyle w:val="Heading1"/>
        <w:spacing w:after="240" w:before="480"/>
      </w:pPr>
      <w:r>
        <w:rPr>
          <w:b/>
          <w:bCs/>
          <w:color w:val="344E41"/>
        </w:rPr>
        <w:t xml:space="preserve">6. Status Color Framework</w:t>
      </w:r>
    </w:p>
    <w:p>
      <w:pPr>
        <w:spacing w:after="160"/>
      </w:pPr>
      <w:r>
        <w:rPr>
          <w:i w:val="false"/>
          <w:iCs w:val="false"/>
          <w:color w:val="2B2B26"/>
        </w:rPr>
        <w:t xml:space="preserve">BMS uses many status vocabularies — Payment Status, Order Status, Inventory Status, Purchase Order Status, Employee Status, Branch Status, Terminal Status, and others as modules are added. Rather than defining colors per status independently, every status in the product draws from the same four semantic tokens defined in Section 3.1.</w:t>
      </w:r>
    </w:p>
    <w:p>
      <w:pPr>
        <w:pStyle w:val="Heading3"/>
        <w:spacing w:after="120" w:before="240"/>
      </w:pPr>
      <w:r>
        <w:rPr>
          <w:b/>
          <w:bCs/>
          <w:color w:val="2B2B26"/>
        </w:rPr>
        <w:t xml:space="preserve">The rule</w:t>
      </w:r>
    </w:p>
    <w:p>
      <w:pPr>
        <w:pStyle w:val="ListParagraph"/>
        <w:numPr>
          <w:ilvl w:val="0"/>
          <w:numId w:val="2"/>
        </w:numPr>
        <w:spacing w:after="80"/>
      </w:pPr>
      <w:r>
        <w:rPr>
          <w:color w:val="2B2B26"/>
        </w:rPr>
        <w:t xml:space="preserve">Every status is defined by exactly three properties: a semantic Color, an Icon, and a short text label. No status may use color alone.</w:t>
      </w:r>
    </w:p>
    <w:p>
      <w:pPr>
        <w:pStyle w:val="ListParagraph"/>
        <w:numPr>
          <w:ilvl w:val="0"/>
          <w:numId w:val="2"/>
        </w:numPr>
        <w:spacing w:after="80"/>
      </w:pPr>
      <w:r>
        <w:rPr>
          <w:color w:val="2B2B26"/>
        </w:rPr>
        <w:t xml:space="preserve">No status vocabulary introduces a new color outside the four semantic tokens (Success, Warning, Error, Info) plus a neutral grey for inactive/draft states.</w:t>
      </w:r>
    </w:p>
    <w:p>
      <w:pPr>
        <w:pStyle w:val="ListParagraph"/>
        <w:numPr>
          <w:ilvl w:val="0"/>
          <w:numId w:val="2"/>
        </w:numPr>
        <w:spacing w:after="80"/>
      </w:pPr>
      <w:r>
        <w:rPr>
          <w:color w:val="2B2B26"/>
        </w:rPr>
        <w:t xml:space="preserve">Where a status vocabulary needs more than four distinctions (e.g. an order with five lifecycle stages), reuse tokens rather than inventing new hues — for example, several "in progress" stages can share Info, differentiated by icon and label.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344E41" w:val="clear"/>
            <w:tcMar>
              <w:top w:type="dxa" w:w="100"/>
              <w:left w:type="dxa" w:w="120"/>
              <w:bottom w:type="dxa" w:w="100"/>
              <w:right w:type="dxa" w:w="120"/>
            </w:tcMar>
            <w:vAlign w:val="center"/>
          </w:tcPr>
          <w:p>
            <w:r>
              <w:rPr>
                <w:b/>
                <w:bCs/>
                <w:color w:val="FFFFFF"/>
                <w:sz w:val="20"/>
                <w:szCs w:val="20"/>
              </w:rPr>
              <w:t xml:space="preserve">Token</w:t>
            </w:r>
          </w:p>
        </w:tc>
        <w:tc>
          <w:tcPr>
            <w:tcW w:type="dxa" w:w="2900"/>
            <w:shd w:fill="344E41" w:val="clear"/>
            <w:tcMar>
              <w:top w:type="dxa" w:w="100"/>
              <w:left w:type="dxa" w:w="120"/>
              <w:bottom w:type="dxa" w:w="100"/>
              <w:right w:type="dxa" w:w="120"/>
            </w:tcMar>
            <w:vAlign w:val="center"/>
          </w:tcPr>
          <w:p>
            <w:r>
              <w:rPr>
                <w:b/>
                <w:bCs/>
                <w:color w:val="FFFFFF"/>
                <w:sz w:val="20"/>
                <w:szCs w:val="20"/>
              </w:rPr>
              <w:t xml:space="preserve">Generic status meaning</w:t>
            </w:r>
          </w:p>
        </w:tc>
        <w:tc>
          <w:tcPr>
            <w:tcW w:type="dxa" w:w="3850"/>
            <w:shd w:fill="344E41" w:val="clear"/>
            <w:tcMar>
              <w:top w:type="dxa" w:w="100"/>
              <w:left w:type="dxa" w:w="120"/>
              <w:bottom w:type="dxa" w:w="100"/>
              <w:right w:type="dxa" w:w="120"/>
            </w:tcMar>
            <w:vAlign w:val="center"/>
          </w:tcPr>
          <w:p>
            <w:r>
              <w:rPr>
                <w:b/>
                <w:bCs/>
                <w:color w:val="FFFFFF"/>
                <w:sz w:val="20"/>
                <w:szCs w:val="20"/>
              </w:rPr>
              <w:t xml:space="preserve">Example labels that may use it</w:t>
            </w:r>
          </w:p>
        </w:tc>
      </w:tr>
      <w:tr>
        <w:tc>
          <w:tcPr>
            <w:tcW w:type="dxa" w:w="2600"/>
            <w:shd w:fill="FFFFFF" w:val="clear"/>
            <w:tcMar>
              <w:top w:type="dxa" w:w="100"/>
              <w:left w:type="dxa" w:w="120"/>
              <w:bottom w:type="dxa" w:w="100"/>
              <w:right w:type="dxa" w:w="120"/>
            </w:tcMar>
            <w:vAlign w:val="center"/>
          </w:tcPr>
          <w:p>
            <w:r>
              <w:rPr>
                <w:b w:val="false"/>
                <w:bCs w:val="false"/>
                <w:color w:val="2B2B26"/>
                <w:sz w:val="20"/>
                <w:szCs w:val="20"/>
              </w:rPr>
              <w:t xml:space="preserve">Success (#3F7D52)</w:t>
            </w:r>
          </w:p>
        </w:tc>
        <w:tc>
          <w:tcPr>
            <w:tcW w:type="dxa" w:w="2900"/>
            <w:shd w:fill="FFFFFF" w:val="clear"/>
            <w:tcMar>
              <w:top w:type="dxa" w:w="100"/>
              <w:left w:type="dxa" w:w="120"/>
              <w:bottom w:type="dxa" w:w="100"/>
              <w:right w:type="dxa" w:w="120"/>
            </w:tcMar>
            <w:vAlign w:val="center"/>
          </w:tcPr>
          <w:p>
            <w:r>
              <w:rPr>
                <w:b w:val="false"/>
                <w:bCs w:val="false"/>
                <w:color w:val="2B2B26"/>
                <w:sz w:val="20"/>
                <w:szCs w:val="20"/>
              </w:rPr>
              <w:t xml:space="preserve">Complete, healthy, confirmed</w:t>
            </w:r>
          </w:p>
        </w:tc>
        <w:tc>
          <w:tcPr>
            <w:tcW w:type="dxa" w:w="3850"/>
            <w:shd w:fill="FFFFFF" w:val="clear"/>
            <w:tcMar>
              <w:top w:type="dxa" w:w="100"/>
              <w:left w:type="dxa" w:w="120"/>
              <w:bottom w:type="dxa" w:w="100"/>
              <w:right w:type="dxa" w:w="120"/>
            </w:tcMar>
            <w:vAlign w:val="center"/>
          </w:tcPr>
          <w:p>
            <w:r>
              <w:rPr>
                <w:b w:val="false"/>
                <w:bCs w:val="false"/>
                <w:color w:val="2B2B26"/>
                <w:sz w:val="20"/>
                <w:szCs w:val="20"/>
              </w:rPr>
              <w:t xml:space="preserve">Paid, In Stock, Active, Delivered</w:t>
            </w:r>
          </w:p>
        </w:tc>
      </w:tr>
      <w:tr>
        <w:tc>
          <w:tcPr>
            <w:tcW w:type="dxa" w:w="2600"/>
            <w:shd w:fill="F1EEE3" w:val="clear"/>
            <w:tcMar>
              <w:top w:type="dxa" w:w="100"/>
              <w:left w:type="dxa" w:w="120"/>
              <w:bottom w:type="dxa" w:w="100"/>
              <w:right w:type="dxa" w:w="120"/>
            </w:tcMar>
            <w:vAlign w:val="center"/>
          </w:tcPr>
          <w:p>
            <w:r>
              <w:rPr>
                <w:b w:val="false"/>
                <w:bCs w:val="false"/>
                <w:color w:val="2B2B26"/>
                <w:sz w:val="20"/>
                <w:szCs w:val="20"/>
              </w:rPr>
              <w:t xml:space="preserve">Warning (#B5842A)</w:t>
            </w:r>
          </w:p>
        </w:tc>
        <w:tc>
          <w:tcPr>
            <w:tcW w:type="dxa" w:w="2900"/>
            <w:shd w:fill="F1EEE3" w:val="clear"/>
            <w:tcMar>
              <w:top w:type="dxa" w:w="100"/>
              <w:left w:type="dxa" w:w="120"/>
              <w:bottom w:type="dxa" w:w="100"/>
              <w:right w:type="dxa" w:w="120"/>
            </w:tcMar>
            <w:vAlign w:val="center"/>
          </w:tcPr>
          <w:p>
            <w:r>
              <w:rPr>
                <w:b w:val="false"/>
                <w:bCs w:val="false"/>
                <w:color w:val="2B2B26"/>
                <w:sz w:val="20"/>
                <w:szCs w:val="20"/>
              </w:rPr>
              <w:t xml:space="preserve">Needs attention soon</w:t>
            </w:r>
          </w:p>
        </w:tc>
        <w:tc>
          <w:tcPr>
            <w:tcW w:type="dxa" w:w="3850"/>
            <w:shd w:fill="F1EEE3" w:val="clear"/>
            <w:tcMar>
              <w:top w:type="dxa" w:w="100"/>
              <w:left w:type="dxa" w:w="120"/>
              <w:bottom w:type="dxa" w:w="100"/>
              <w:right w:type="dxa" w:w="120"/>
            </w:tcMar>
            <w:vAlign w:val="center"/>
          </w:tcPr>
          <w:p>
            <w:r>
              <w:rPr>
                <w:b w:val="false"/>
                <w:bCs w:val="false"/>
                <w:color w:val="2B2B26"/>
                <w:sz w:val="20"/>
                <w:szCs w:val="20"/>
              </w:rPr>
              <w:t xml:space="preserve">Low Stock, Pending Approval, Near Expiry</w:t>
            </w:r>
          </w:p>
        </w:tc>
      </w:tr>
      <w:tr>
        <w:tc>
          <w:tcPr>
            <w:tcW w:type="dxa" w:w="2600"/>
            <w:shd w:fill="FFFFFF" w:val="clear"/>
            <w:tcMar>
              <w:top w:type="dxa" w:w="100"/>
              <w:left w:type="dxa" w:w="120"/>
              <w:bottom w:type="dxa" w:w="100"/>
              <w:right w:type="dxa" w:w="120"/>
            </w:tcMar>
            <w:vAlign w:val="center"/>
          </w:tcPr>
          <w:p>
            <w:r>
              <w:rPr>
                <w:b w:val="false"/>
                <w:bCs w:val="false"/>
                <w:color w:val="2B2B26"/>
                <w:sz w:val="20"/>
                <w:szCs w:val="20"/>
              </w:rPr>
              <w:t xml:space="preserve">Error (#AA3B3B)</w:t>
            </w:r>
          </w:p>
        </w:tc>
        <w:tc>
          <w:tcPr>
            <w:tcW w:type="dxa" w:w="2900"/>
            <w:shd w:fill="FFFFFF" w:val="clear"/>
            <w:tcMar>
              <w:top w:type="dxa" w:w="100"/>
              <w:left w:type="dxa" w:w="120"/>
              <w:bottom w:type="dxa" w:w="100"/>
              <w:right w:type="dxa" w:w="120"/>
            </w:tcMar>
            <w:vAlign w:val="center"/>
          </w:tcPr>
          <w:p>
            <w:r>
              <w:rPr>
                <w:b w:val="false"/>
                <w:bCs w:val="false"/>
                <w:color w:val="2B2B26"/>
                <w:sz w:val="20"/>
                <w:szCs w:val="20"/>
              </w:rPr>
              <w:t xml:space="preserve">Blocked, failed, needs immediate action</w:t>
            </w:r>
          </w:p>
        </w:tc>
        <w:tc>
          <w:tcPr>
            <w:tcW w:type="dxa" w:w="3850"/>
            <w:shd w:fill="FFFFFF" w:val="clear"/>
            <w:tcMar>
              <w:top w:type="dxa" w:w="100"/>
              <w:left w:type="dxa" w:w="120"/>
              <w:bottom w:type="dxa" w:w="100"/>
              <w:right w:type="dxa" w:w="120"/>
            </w:tcMar>
            <w:vAlign w:val="center"/>
          </w:tcPr>
          <w:p>
            <w:r>
              <w:rPr>
                <w:b w:val="false"/>
                <w:bCs w:val="false"/>
                <w:color w:val="2B2B26"/>
                <w:sz w:val="20"/>
                <w:szCs w:val="20"/>
              </w:rPr>
              <w:t xml:space="preserve">Failed, Out of Stock, Overdue, Suspended</w:t>
            </w:r>
          </w:p>
        </w:tc>
      </w:tr>
      <w:tr>
        <w:tc>
          <w:tcPr>
            <w:tcW w:type="dxa" w:w="2600"/>
            <w:shd w:fill="F1EEE3" w:val="clear"/>
            <w:tcMar>
              <w:top w:type="dxa" w:w="100"/>
              <w:left w:type="dxa" w:w="120"/>
              <w:bottom w:type="dxa" w:w="100"/>
              <w:right w:type="dxa" w:w="120"/>
            </w:tcMar>
            <w:vAlign w:val="center"/>
          </w:tcPr>
          <w:p>
            <w:r>
              <w:rPr>
                <w:b w:val="false"/>
                <w:bCs w:val="false"/>
                <w:color w:val="2B2B26"/>
                <w:sz w:val="20"/>
                <w:szCs w:val="20"/>
              </w:rPr>
              <w:t xml:space="preserve">Info (#3A6EA5)</w:t>
            </w:r>
          </w:p>
        </w:tc>
        <w:tc>
          <w:tcPr>
            <w:tcW w:type="dxa" w:w="2900"/>
            <w:shd w:fill="F1EEE3" w:val="clear"/>
            <w:tcMar>
              <w:top w:type="dxa" w:w="100"/>
              <w:left w:type="dxa" w:w="120"/>
              <w:bottom w:type="dxa" w:w="100"/>
              <w:right w:type="dxa" w:w="120"/>
            </w:tcMar>
            <w:vAlign w:val="center"/>
          </w:tcPr>
          <w:p>
            <w:r>
              <w:rPr>
                <w:b w:val="false"/>
                <w:bCs w:val="false"/>
                <w:color w:val="2B2B26"/>
                <w:sz w:val="20"/>
                <w:szCs w:val="20"/>
              </w:rPr>
              <w:t xml:space="preserve">Neutral, in progress, no action required</w:t>
            </w:r>
          </w:p>
        </w:tc>
        <w:tc>
          <w:tcPr>
            <w:tcW w:type="dxa" w:w="3850"/>
            <w:shd w:fill="F1EEE3" w:val="clear"/>
            <w:tcMar>
              <w:top w:type="dxa" w:w="100"/>
              <w:left w:type="dxa" w:w="120"/>
              <w:bottom w:type="dxa" w:w="100"/>
              <w:right w:type="dxa" w:w="120"/>
            </w:tcMar>
            <w:vAlign w:val="center"/>
          </w:tcPr>
          <w:p>
            <w:r>
              <w:rPr>
                <w:b w:val="false"/>
                <w:bCs w:val="false"/>
                <w:color w:val="2B2B26"/>
                <w:sz w:val="20"/>
                <w:szCs w:val="20"/>
              </w:rPr>
              <w:t xml:space="preserve">Processing, Draft, Scheduled</w:t>
            </w:r>
          </w:p>
        </w:tc>
      </w:tr>
      <w:tr>
        <w:tc>
          <w:tcPr>
            <w:tcW w:type="dxa" w:w="2600"/>
            <w:shd w:fill="FFFFFF" w:val="clear"/>
            <w:tcMar>
              <w:top w:type="dxa" w:w="100"/>
              <w:left w:type="dxa" w:w="120"/>
              <w:bottom w:type="dxa" w:w="100"/>
              <w:right w:type="dxa" w:w="120"/>
            </w:tcMar>
            <w:vAlign w:val="center"/>
          </w:tcPr>
          <w:p>
            <w:r>
              <w:rPr>
                <w:b w:val="false"/>
                <w:bCs w:val="false"/>
                <w:color w:val="2B2B26"/>
                <w:sz w:val="20"/>
                <w:szCs w:val="20"/>
              </w:rPr>
              <w:t xml:space="preserve">Neutral grey</w:t>
            </w:r>
          </w:p>
        </w:tc>
        <w:tc>
          <w:tcPr>
            <w:tcW w:type="dxa" w:w="2900"/>
            <w:shd w:fill="FFFFFF" w:val="clear"/>
            <w:tcMar>
              <w:top w:type="dxa" w:w="100"/>
              <w:left w:type="dxa" w:w="120"/>
              <w:bottom w:type="dxa" w:w="100"/>
              <w:right w:type="dxa" w:w="120"/>
            </w:tcMar>
            <w:vAlign w:val="center"/>
          </w:tcPr>
          <w:p>
            <w:r>
              <w:rPr>
                <w:b w:val="false"/>
                <w:bCs w:val="false"/>
                <w:color w:val="2B2B26"/>
                <w:sz w:val="20"/>
                <w:szCs w:val="20"/>
              </w:rPr>
              <w:t xml:space="preserve">Inactive or not yet started</w:t>
            </w:r>
          </w:p>
        </w:tc>
        <w:tc>
          <w:tcPr>
            <w:tcW w:type="dxa" w:w="3850"/>
            <w:shd w:fill="FFFFFF" w:val="clear"/>
            <w:tcMar>
              <w:top w:type="dxa" w:w="100"/>
              <w:left w:type="dxa" w:w="120"/>
              <w:bottom w:type="dxa" w:w="100"/>
              <w:right w:type="dxa" w:w="120"/>
            </w:tcMar>
            <w:vAlign w:val="center"/>
          </w:tcPr>
          <w:p>
            <w:r>
              <w:rPr>
                <w:b w:val="false"/>
                <w:bCs w:val="false"/>
                <w:color w:val="2B2B26"/>
                <w:sz w:val="20"/>
                <w:szCs w:val="20"/>
              </w:rPr>
              <w:t xml:space="preserve">Archived, Not Started, Disabled</w:t>
            </w:r>
          </w:p>
        </w:tc>
      </w:tr>
    </w:tbl>
    <w:p>
      <w:pPr>
        <w:pBdr>
          <w:left w:val="single" w:color="DDA15E" w:sz="18" w:space="8"/>
        </w:pBdr>
        <w:spacing w:after="200" w:before="80"/>
        <w:ind w:left="260"/>
      </w:pPr>
      <w:r>
        <w:rPr>
          <w:i/>
          <w:iCs/>
          <w:color w:val="6B7060"/>
          <w:sz w:val="20"/>
          <w:szCs w:val="20"/>
        </w:rPr>
        <w:t xml:space="preserve">The specific status vocabularies for Payment Status, Order Status, Inventory Status, and the others listed above will be fully enumerated in Volume 3 — Patterns &amp; Workflows, each mapped against this same token set.</w:t>
      </w:r>
    </w:p>
    <w:p>
      <w:r>
        <w:br w:type="page"/>
      </w:r>
    </w:p>
    <w:p>
      <w:pPr>
        <w:pStyle w:val="Heading1"/>
        <w:spacing w:after="240" w:before="480"/>
      </w:pPr>
      <w:r>
        <w:rPr>
          <w:b/>
          <w:bCs/>
          <w:color w:val="344E41"/>
        </w:rPr>
        <w:t xml:space="preserve">7. Governance</w:t>
      </w:r>
    </w:p>
    <w:p>
      <w:pPr>
        <w:pStyle w:val="Heading2"/>
        <w:spacing w:after="160" w:before="360"/>
      </w:pPr>
      <w:r>
        <w:rPr>
          <w:b/>
          <w:bCs/>
          <w:color w:val="344E41"/>
        </w:rPr>
        <w:t xml:space="preserve">7.1 Document System Overview</w:t>
      </w:r>
    </w:p>
    <w:p>
      <w:pPr>
        <w:spacing w:after="160"/>
      </w:pPr>
      <w:r>
        <w:rPr>
          <w:i w:val="false"/>
          <w:iCs w:val="false"/>
          <w:color w:val="2B2B26"/>
        </w:rPr>
        <w:t xml:space="preserve">The design system is maintained as three volumes with a strict dependency order: Component Library (Volume 2) is built on the tokens and principles in this document; Patterns &amp; Workflows (Volume 3) is built on both. A change to a foundation token should be checked against both downstream volumes before it is finalized.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344E41" w:val="clear"/>
            <w:tcMar>
              <w:top w:type="dxa" w:w="100"/>
              <w:left w:type="dxa" w:w="120"/>
              <w:bottom w:type="dxa" w:w="100"/>
              <w:right w:type="dxa" w:w="120"/>
            </w:tcMar>
            <w:vAlign w:val="center"/>
          </w:tcPr>
          <w:p>
            <w:r>
              <w:rPr>
                <w:b/>
                <w:bCs/>
                <w:color w:val="FFFFFF"/>
                <w:sz w:val="20"/>
                <w:szCs w:val="20"/>
              </w:rPr>
              <w:t xml:space="preserve">Volume</w:t>
            </w:r>
          </w:p>
        </w:tc>
        <w:tc>
          <w:tcPr>
            <w:tcW w:type="dxa" w:w="2400"/>
            <w:shd w:fill="344E41" w:val="clear"/>
            <w:tcMar>
              <w:top w:type="dxa" w:w="100"/>
              <w:left w:type="dxa" w:w="120"/>
              <w:bottom w:type="dxa" w:w="100"/>
              <w:right w:type="dxa" w:w="120"/>
            </w:tcMar>
            <w:vAlign w:val="center"/>
          </w:tcPr>
          <w:p>
            <w:r>
              <w:rPr>
                <w:b/>
                <w:bCs/>
                <w:color w:val="FFFFFF"/>
                <w:sz w:val="20"/>
                <w:szCs w:val="20"/>
              </w:rPr>
              <w:t xml:space="preserve">Depends on</w:t>
            </w:r>
          </w:p>
        </w:tc>
        <w:tc>
          <w:tcPr>
            <w:tcW w:type="dxa" w:w="4350"/>
            <w:shd w:fill="344E41" w:val="clear"/>
            <w:tcMar>
              <w:top w:type="dxa" w:w="100"/>
              <w:left w:type="dxa" w:w="120"/>
              <w:bottom w:type="dxa" w:w="100"/>
              <w:right w:type="dxa" w:w="120"/>
            </w:tcMar>
            <w:vAlign w:val="center"/>
          </w:tcPr>
          <w:p>
            <w:r>
              <w:rPr>
                <w:b/>
                <w:bCs/>
                <w:color w:val="FFFFFF"/>
                <w:sz w:val="20"/>
                <w:szCs w:val="20"/>
              </w:rPr>
              <w:t xml:space="preserve">Consult when…</w:t>
            </w:r>
          </w:p>
        </w:tc>
      </w:tr>
      <w:tr>
        <w:tc>
          <w:tcPr>
            <w:tcW w:type="dxa" w:w="2600"/>
            <w:shd w:fill="FFFFFF" w:val="clear"/>
            <w:tcMar>
              <w:top w:type="dxa" w:w="100"/>
              <w:left w:type="dxa" w:w="120"/>
              <w:bottom w:type="dxa" w:w="100"/>
              <w:right w:type="dxa" w:w="120"/>
            </w:tcMar>
            <w:vAlign w:val="center"/>
          </w:tcPr>
          <w:p>
            <w:r>
              <w:rPr>
                <w:b w:val="false"/>
                <w:bCs w:val="false"/>
                <w:color w:val="2B2B26"/>
                <w:sz w:val="20"/>
                <w:szCs w:val="20"/>
              </w:rPr>
              <w:t xml:space="preserve">1 — Design Foundations</w:t>
            </w:r>
          </w:p>
        </w:tc>
        <w:tc>
          <w:tcPr>
            <w:tcW w:type="dxa" w:w="2400"/>
            <w:shd w:fill="FFFFFF" w:val="clear"/>
            <w:tcMar>
              <w:top w:type="dxa" w:w="100"/>
              <w:left w:type="dxa" w:w="120"/>
              <w:bottom w:type="dxa" w:w="100"/>
              <w:right w:type="dxa" w:w="120"/>
            </w:tcMar>
            <w:vAlign w:val="center"/>
          </w:tcPr>
          <w:p>
            <w:r>
              <w:rPr>
                <w:b w:val="false"/>
                <w:bCs w:val="false"/>
                <w:color w:val="2B2B26"/>
                <w:sz w:val="20"/>
                <w:szCs w:val="20"/>
              </w:rPr>
              <w:t xml:space="preserve">Nothing (base layer)</w:t>
            </w:r>
          </w:p>
        </w:tc>
        <w:tc>
          <w:tcPr>
            <w:tcW w:type="dxa" w:w="4350"/>
            <w:shd w:fill="FFFFFF" w:val="clear"/>
            <w:tcMar>
              <w:top w:type="dxa" w:w="100"/>
              <w:left w:type="dxa" w:w="120"/>
              <w:bottom w:type="dxa" w:w="100"/>
              <w:right w:type="dxa" w:w="120"/>
            </w:tcMar>
            <w:vAlign w:val="center"/>
          </w:tcPr>
          <w:p>
            <w:r>
              <w:rPr>
                <w:b w:val="false"/>
                <w:bCs w:val="false"/>
                <w:color w:val="2B2B26"/>
                <w:sz w:val="20"/>
                <w:szCs w:val="20"/>
              </w:rPr>
              <w:t xml:space="preserve">Defining or changing a color, type scale, spacing unit, motion timing, or principle</w:t>
            </w:r>
          </w:p>
        </w:tc>
      </w:tr>
      <w:tr>
        <w:tc>
          <w:tcPr>
            <w:tcW w:type="dxa" w:w="2600"/>
            <w:shd w:fill="F1EEE3" w:val="clear"/>
            <w:tcMar>
              <w:top w:type="dxa" w:w="100"/>
              <w:left w:type="dxa" w:w="120"/>
              <w:bottom w:type="dxa" w:w="100"/>
              <w:right w:type="dxa" w:w="120"/>
            </w:tcMar>
            <w:vAlign w:val="center"/>
          </w:tcPr>
          <w:p>
            <w:r>
              <w:rPr>
                <w:b w:val="false"/>
                <w:bCs w:val="false"/>
                <w:color w:val="2B2B26"/>
                <w:sz w:val="20"/>
                <w:szCs w:val="20"/>
              </w:rPr>
              <w:t xml:space="preserve">2 — Component Library</w:t>
            </w:r>
          </w:p>
        </w:tc>
        <w:tc>
          <w:tcPr>
            <w:tcW w:type="dxa" w:w="2400"/>
            <w:shd w:fill="F1EEE3" w:val="clear"/>
            <w:tcMar>
              <w:top w:type="dxa" w:w="100"/>
              <w:left w:type="dxa" w:w="120"/>
              <w:bottom w:type="dxa" w:w="100"/>
              <w:right w:type="dxa" w:w="120"/>
            </w:tcMar>
            <w:vAlign w:val="center"/>
          </w:tcPr>
          <w:p>
            <w:r>
              <w:rPr>
                <w:b w:val="false"/>
                <w:bCs w:val="false"/>
                <w:color w:val="2B2B26"/>
                <w:sz w:val="20"/>
                <w:szCs w:val="20"/>
              </w:rPr>
              <w:t xml:space="preserve">Volume 1</w:t>
            </w:r>
          </w:p>
        </w:tc>
        <w:tc>
          <w:tcPr>
            <w:tcW w:type="dxa" w:w="4350"/>
            <w:shd w:fill="F1EEE3" w:val="clear"/>
            <w:tcMar>
              <w:top w:type="dxa" w:w="100"/>
              <w:left w:type="dxa" w:w="120"/>
              <w:bottom w:type="dxa" w:w="100"/>
              <w:right w:type="dxa" w:w="120"/>
            </w:tcMar>
            <w:vAlign w:val="center"/>
          </w:tcPr>
          <w:p>
            <w:r>
              <w:rPr>
                <w:b w:val="false"/>
                <w:bCs w:val="false"/>
                <w:color w:val="2B2B26"/>
                <w:sz w:val="20"/>
                <w:szCs w:val="20"/>
              </w:rPr>
              <w:t xml:space="preserve">Specifying or changing how a reusable component looks or behaves in any state</w:t>
            </w:r>
          </w:p>
        </w:tc>
      </w:tr>
      <w:tr>
        <w:tc>
          <w:tcPr>
            <w:tcW w:type="dxa" w:w="2600"/>
            <w:shd w:fill="FFFFFF" w:val="clear"/>
            <w:tcMar>
              <w:top w:type="dxa" w:w="100"/>
              <w:left w:type="dxa" w:w="120"/>
              <w:bottom w:type="dxa" w:w="100"/>
              <w:right w:type="dxa" w:w="120"/>
            </w:tcMar>
            <w:vAlign w:val="center"/>
          </w:tcPr>
          <w:p>
            <w:r>
              <w:rPr>
                <w:b w:val="false"/>
                <w:bCs w:val="false"/>
                <w:color w:val="2B2B26"/>
                <w:sz w:val="20"/>
                <w:szCs w:val="20"/>
              </w:rPr>
              <w:t xml:space="preserve">3 — Patterns &amp; Workflows</w:t>
            </w:r>
          </w:p>
        </w:tc>
        <w:tc>
          <w:tcPr>
            <w:tcW w:type="dxa" w:w="2400"/>
            <w:shd w:fill="FFFFFF" w:val="clear"/>
            <w:tcMar>
              <w:top w:type="dxa" w:w="100"/>
              <w:left w:type="dxa" w:w="120"/>
              <w:bottom w:type="dxa" w:w="100"/>
              <w:right w:type="dxa" w:w="120"/>
            </w:tcMar>
            <w:vAlign w:val="center"/>
          </w:tcPr>
          <w:p>
            <w:r>
              <w:rPr>
                <w:b w:val="false"/>
                <w:bCs w:val="false"/>
                <w:color w:val="2B2B26"/>
                <w:sz w:val="20"/>
                <w:szCs w:val="20"/>
              </w:rPr>
              <w:t xml:space="preserve">Volumes 1 and 2</w:t>
            </w:r>
          </w:p>
        </w:tc>
        <w:tc>
          <w:tcPr>
            <w:tcW w:type="dxa" w:w="4350"/>
            <w:shd w:fill="FFFFFF" w:val="clear"/>
            <w:tcMar>
              <w:top w:type="dxa" w:w="100"/>
              <w:left w:type="dxa" w:w="120"/>
              <w:bottom w:type="dxa" w:w="100"/>
              <w:right w:type="dxa" w:w="120"/>
            </w:tcMar>
            <w:vAlign w:val="center"/>
          </w:tcPr>
          <w:p>
            <w:r>
              <w:rPr>
                <w:b w:val="false"/>
                <w:bCs w:val="false"/>
                <w:color w:val="2B2B26"/>
                <w:sz w:val="20"/>
                <w:szCs w:val="20"/>
              </w:rPr>
              <w:t xml:space="preserve">Designing a screen, dashboard, workspace, or end-to-end flow</w:t>
            </w:r>
          </w:p>
        </w:tc>
      </w:tr>
    </w:tbl>
    <w:p>
      <w:pPr>
        <w:pStyle w:val="Heading2"/>
        <w:spacing w:after="160" w:before="360"/>
      </w:pPr>
      <w:r>
        <w:rPr>
          <w:b/>
          <w:bCs/>
          <w:color w:val="344E41"/>
        </w:rPr>
        <w:t xml:space="preserve">7.2 Versioning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50"/>
      </w:tblGrid>
      <w:tr>
        <w:trPr>
          <w:tblHeader/>
        </w:trPr>
        <w:tc>
          <w:tcPr>
            <w:tcW w:type="dxa" w:w="1600"/>
            <w:shd w:fill="344E41" w:val="clear"/>
            <w:tcMar>
              <w:top w:type="dxa" w:w="100"/>
              <w:left w:type="dxa" w:w="120"/>
              <w:bottom w:type="dxa" w:w="100"/>
              <w:right w:type="dxa" w:w="120"/>
            </w:tcMar>
            <w:vAlign w:val="center"/>
          </w:tcPr>
          <w:p>
            <w:r>
              <w:rPr>
                <w:b/>
                <w:bCs/>
                <w:color w:val="FFFFFF"/>
                <w:sz w:val="20"/>
                <w:szCs w:val="20"/>
              </w:rPr>
              <w:t xml:space="preserve">Version</w:t>
            </w:r>
          </w:p>
        </w:tc>
        <w:tc>
          <w:tcPr>
            <w:tcW w:type="dxa" w:w="1800"/>
            <w:shd w:fill="344E41" w:val="clear"/>
            <w:tcMar>
              <w:top w:type="dxa" w:w="100"/>
              <w:left w:type="dxa" w:w="120"/>
              <w:bottom w:type="dxa" w:w="100"/>
              <w:right w:type="dxa" w:w="120"/>
            </w:tcMar>
            <w:vAlign w:val="center"/>
          </w:tcPr>
          <w:p>
            <w:r>
              <w:rPr>
                <w:b/>
                <w:bCs/>
                <w:color w:val="FFFFFF"/>
                <w:sz w:val="20"/>
                <w:szCs w:val="20"/>
              </w:rPr>
              <w:t xml:space="preserve">Date</w:t>
            </w:r>
          </w:p>
        </w:tc>
        <w:tc>
          <w:tcPr>
            <w:tcW w:type="dxa" w:w="5950"/>
            <w:shd w:fill="344E41" w:val="clear"/>
            <w:tcMar>
              <w:top w:type="dxa" w:w="100"/>
              <w:left w:type="dxa" w:w="120"/>
              <w:bottom w:type="dxa" w:w="100"/>
              <w:right w:type="dxa" w:w="120"/>
            </w:tcMar>
            <w:vAlign w:val="center"/>
          </w:tcPr>
          <w:p>
            <w:r>
              <w:rPr>
                <w:b/>
                <w:bCs/>
                <w:color w:val="FFFFFF"/>
                <w:sz w:val="20"/>
                <w:szCs w:val="20"/>
              </w:rPr>
              <w:t xml:space="preserve">Changes</w:t>
            </w:r>
          </w:p>
        </w:tc>
      </w:tr>
      <w:tr>
        <w:tc>
          <w:tcPr>
            <w:tcW w:type="dxa" w:w="1600"/>
            <w:shd w:fill="FFFFFF" w:val="clear"/>
            <w:tcMar>
              <w:top w:type="dxa" w:w="100"/>
              <w:left w:type="dxa" w:w="120"/>
              <w:bottom w:type="dxa" w:w="100"/>
              <w:right w:type="dxa" w:w="120"/>
            </w:tcMar>
            <w:vAlign w:val="center"/>
          </w:tcPr>
          <w:p>
            <w:r>
              <w:rPr>
                <w:b w:val="false"/>
                <w:bCs w:val="false"/>
                <w:color w:val="2B2B26"/>
                <w:sz w:val="20"/>
                <w:szCs w:val="20"/>
              </w:rPr>
              <w:t xml:space="preserve">1.0</w:t>
            </w:r>
          </w:p>
        </w:tc>
        <w:tc>
          <w:tcPr>
            <w:tcW w:type="dxa" w:w="1800"/>
            <w:shd w:fill="FFFFFF" w:val="clear"/>
            <w:tcMar>
              <w:top w:type="dxa" w:w="100"/>
              <w:left w:type="dxa" w:w="120"/>
              <w:bottom w:type="dxa" w:w="100"/>
              <w:right w:type="dxa" w:w="120"/>
            </w:tcMar>
            <w:vAlign w:val="center"/>
          </w:tcPr>
          <w:p>
            <w:r>
              <w:rPr>
                <w:b w:val="false"/>
                <w:bCs w:val="false"/>
                <w:color w:val="2B2B26"/>
                <w:sz w:val="20"/>
                <w:szCs w:val="20"/>
              </w:rPr>
              <w:t xml:space="preserve">July 2026</w:t>
            </w:r>
          </w:p>
        </w:tc>
        <w:tc>
          <w:tcPr>
            <w:tcW w:type="dxa" w:w="5950"/>
            <w:shd w:fill="FFFFFF" w:val="clear"/>
            <w:tcMar>
              <w:top w:type="dxa" w:w="100"/>
              <w:left w:type="dxa" w:w="120"/>
              <w:bottom w:type="dxa" w:w="100"/>
              <w:right w:type="dxa" w:w="120"/>
            </w:tcMar>
            <w:vAlign w:val="center"/>
          </w:tcPr>
          <w:p>
            <w:r>
              <w:rPr>
                <w:b w:val="false"/>
                <w:bCs w:val="false"/>
                <w:color w:val="2B2B26"/>
                <w:sz w:val="20"/>
                <w:szCs w:val="20"/>
              </w:rPr>
              <w:t xml:space="preserve">Initial single-document design system: foundations, component reference, interaction patterns, content, accessibility</w:t>
            </w:r>
          </w:p>
        </w:tc>
      </w:tr>
      <w:tr>
        <w:tc>
          <w:tcPr>
            <w:tcW w:type="dxa" w:w="1600"/>
            <w:shd w:fill="F1EEE3" w:val="clear"/>
            <w:tcMar>
              <w:top w:type="dxa" w:w="100"/>
              <w:left w:type="dxa" w:w="120"/>
              <w:bottom w:type="dxa" w:w="100"/>
              <w:right w:type="dxa" w:w="120"/>
            </w:tcMar>
            <w:vAlign w:val="center"/>
          </w:tcPr>
          <w:p>
            <w:r>
              <w:rPr>
                <w:b w:val="false"/>
                <w:bCs w:val="false"/>
                <w:color w:val="2B2B26"/>
                <w:sz w:val="20"/>
                <w:szCs w:val="20"/>
              </w:rPr>
              <w:t xml:space="preserve">2.0</w:t>
            </w:r>
          </w:p>
        </w:tc>
        <w:tc>
          <w:tcPr>
            <w:tcW w:type="dxa" w:w="1800"/>
            <w:shd w:fill="F1EEE3" w:val="clear"/>
            <w:tcMar>
              <w:top w:type="dxa" w:w="100"/>
              <w:left w:type="dxa" w:w="120"/>
              <w:bottom w:type="dxa" w:w="100"/>
              <w:right w:type="dxa" w:w="120"/>
            </w:tcMar>
            <w:vAlign w:val="center"/>
          </w:tcPr>
          <w:p>
            <w:r>
              <w:rPr>
                <w:b w:val="false"/>
                <w:bCs w:val="false"/>
                <w:color w:val="2B2B26"/>
                <w:sz w:val="20"/>
                <w:szCs w:val="20"/>
              </w:rPr>
              <w:t xml:space="preserve">July 2026</w:t>
            </w:r>
          </w:p>
        </w:tc>
        <w:tc>
          <w:tcPr>
            <w:tcW w:type="dxa" w:w="5950"/>
            <w:shd w:fill="F1EEE3" w:val="clear"/>
            <w:tcMar>
              <w:top w:type="dxa" w:w="100"/>
              <w:left w:type="dxa" w:w="120"/>
              <w:bottom w:type="dxa" w:w="100"/>
              <w:right w:type="dxa" w:w="120"/>
            </w:tcMar>
            <w:vAlign w:val="center"/>
          </w:tcPr>
          <w:p>
            <w:r>
              <w:rPr>
                <w:b w:val="false"/>
                <w:bCs w:val="false"/>
                <w:color w:val="2B2B26"/>
                <w:sz w:val="20"/>
                <w:szCs w:val="20"/>
              </w:rPr>
              <w:t xml:space="preserve">Restructured into three companion volumes. This document becomes Volume 1 — Design Foundations. Added Design Principles, Motion &amp; Animation, expanded Accessibility, added Naming Standards and the Status Color Framework. Component and workflow-specific content moved out to Volumes 2 and 3.</w:t>
            </w:r>
          </w:p>
        </w:tc>
      </w:tr>
    </w:tbl>
    <w:p>
      <w:pPr>
        <w:spacing w:after="160"/>
      </w:pPr>
      <w:r>
        <w:rPr>
          <w:i/>
          <w:iCs/>
          <w:color w:val="2B2B26"/>
        </w:rPr>
        <w:t xml:space="preserve">Update this table whenever a foundation token, principle, or standard changes. Keep the change description specific enough that a reader can tell what actually changed.</w:t>
      </w:r>
    </w:p>
    <w:p>
      <w:pPr>
        <w:pStyle w:val="Heading2"/>
        <w:spacing w:after="160" w:before="360"/>
      </w:pPr>
      <w:r>
        <w:rPr>
          <w:b/>
          <w:bCs/>
          <w:color w:val="344E41"/>
        </w:rPr>
        <w:t xml:space="preserve">7.3 Change Process</w:t>
      </w:r>
    </w:p>
    <w:p>
      <w:pPr>
        <w:pStyle w:val="ListParagraph"/>
        <w:numPr>
          <w:ilvl w:val="0"/>
          <w:numId w:val="2"/>
        </w:numPr>
        <w:spacing w:after="80"/>
      </w:pPr>
      <w:r>
        <w:rPr>
          <w:color w:val="2B2B26"/>
        </w:rPr>
        <w:t xml:space="preserve">Propose — describe the current token/principle, the proposed change, and the specific usability problem it solves.</w:t>
      </w:r>
    </w:p>
    <w:p>
      <w:pPr>
        <w:pStyle w:val="ListParagraph"/>
        <w:numPr>
          <w:ilvl w:val="0"/>
          <w:numId w:val="2"/>
        </w:numPr>
        <w:spacing w:after="80"/>
      </w:pPr>
      <w:r>
        <w:rPr>
          <w:color w:val="2B2B26"/>
        </w:rPr>
        <w:t xml:space="preserve">Check downstream impact — identify every place in Volumes 2 and 3 that references the item being changed.</w:t>
      </w:r>
    </w:p>
    <w:p>
      <w:pPr>
        <w:pStyle w:val="ListParagraph"/>
        <w:numPr>
          <w:ilvl w:val="0"/>
          <w:numId w:val="2"/>
        </w:numPr>
        <w:spacing w:after="80"/>
      </w:pPr>
      <w:r>
        <w:rPr>
          <w:color w:val="2B2B26"/>
        </w:rPr>
        <w:t xml:space="preserve">Review — a second designer or a developer familiar with the affected screens reviews the proposal against Section 2's principles.</w:t>
      </w:r>
    </w:p>
    <w:p>
      <w:pPr>
        <w:pStyle w:val="ListParagraph"/>
        <w:numPr>
          <w:ilvl w:val="0"/>
          <w:numId w:val="2"/>
        </w:numPr>
        <w:spacing w:after="80"/>
      </w:pPr>
      <w:r>
        <w:rPr>
          <w:color w:val="2B2B26"/>
        </w:rPr>
        <w:t xml:space="preserve">Approve &amp; version — once approved, update the token/principle in place and log the change in Section 7.2 with a version bump.</w:t>
      </w:r>
    </w:p>
    <w:p>
      <w:pPr>
        <w:pStyle w:val="ListParagraph"/>
        <w:numPr>
          <w:ilvl w:val="0"/>
          <w:numId w:val="2"/>
        </w:numPr>
        <w:spacing w:after="80"/>
      </w:pPr>
      <w:r>
        <w:rPr>
          <w:color w:val="2B2B26"/>
        </w:rPr>
        <w:t xml:space="preserve">Deprecate, don't delete silently — if a token or pattern is being retired, mark it deprecated with a migration note for at least one version cycle before removal.</w:t>
      </w:r>
    </w:p>
    <w:p>
      <w:pPr>
        <w:pStyle w:val="Heading2"/>
        <w:spacing w:after="160" w:before="360"/>
      </w:pPr>
      <w:r>
        <w:rPr>
          <w:b/>
          <w:bCs/>
          <w:color w:val="344E41"/>
        </w:rPr>
        <w:t xml:space="preserve">7.4 Roadmap</w:t>
      </w:r>
    </w:p>
    <w:p>
      <w:pPr>
        <w:spacing w:after="160"/>
      </w:pPr>
      <w:r>
        <w:rPr>
          <w:i w:val="false"/>
          <w:iCs w:val="false"/>
          <w:color w:val="2B2B26"/>
        </w:rPr>
        <w:t xml:space="preserve">With Volume 1 complete, the recommended next step is Volume 2 — Component Library: a full inventory of reusable components (buttons, forms, tables, cards, modals, navigation, notifications, loading states, status badges, and more), each specified with every state (default, hover, active, focus, disabled, error, loading) and drawing directly on the tokens and principles defined here.</w:t>
      </w:r>
    </w:p>
    <w:p>
      <w:pPr>
        <w:pBdr>
          <w:left w:val="single" w:color="DDA15E" w:sz="18" w:space="8"/>
        </w:pBdr>
        <w:spacing w:after="200" w:before="80"/>
        <w:ind w:left="260"/>
      </w:pPr>
      <w:r>
        <w:rPr>
          <w:i/>
          <w:iCs/>
          <w:color w:val="6B7060"/>
          <w:sz w:val="20"/>
          <w:szCs w:val="20"/>
        </w:rPr>
        <w:t xml:space="preserve">Awaiting confirmation to proceed to Volume 2 — Component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2026-07-22T12:03:06.116Z</dcterms:created>
  <dcterms:modified xsi:type="dcterms:W3CDTF">2026-07-22T12:03:06.128Z</dcterms:modified>
</cp:coreProperties>
</file>

<file path=docProps/custom.xml><?xml version="1.0" encoding="utf-8"?>
<Properties xmlns="http://schemas.openxmlformats.org/officeDocument/2006/custom-properties" xmlns:vt="http://schemas.openxmlformats.org/officeDocument/2006/docPropsVTypes"/>
</file>