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344E41"/>
          <w:sz w:val="44"/>
          <w:szCs w:val="44"/>
        </w:rPr>
        <w:t xml:space="preserve">BMS API Specification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Business Management System</w:t>
      </w:r>
    </w:p>
    <w:p>
      <w:pPr>
        <w:spacing w:after="60"/>
        <w:jc w:val="center"/>
      </w:pPr>
      <w:r>
        <w:rPr>
          <w:sz w:val="22"/>
          <w:szCs w:val="22"/>
        </w:rPr>
        <w:t xml:space="preserve">Version: 1.1</w:t>
      </w:r>
    </w:p>
    <w:p>
      <w:pPr>
        <w:spacing w:after="60"/>
        <w:jc w:val="center"/>
      </w:pPr>
      <w:r>
        <w:rPr>
          <w:sz w:val="22"/>
          <w:szCs w:val="22"/>
        </w:rPr>
        <w:t xml:space="preserve">Status: Implementation Baseline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Supersedes: Version 1.0</w:t>
      </w:r>
    </w:p>
    <w:p>
      <w:pPr>
        <w:pStyle w:val="Heading1"/>
        <w:spacing w:after="200" w:before="400"/>
      </w:pPr>
      <w:r>
        <w:t xml:space="preserve">Revision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900"/>
        <w:gridCol w:w="3350"/>
      </w:tblGrid>
      <w:tr>
        <w:trPr>
          <w:tblHeader/>
        </w:trPr>
        <w:tc>
          <w:tcPr>
            <w:tcW w:type="dxa" w:w="1100"/>
            <w:shd w:fill="344E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900"/>
            <w:shd w:fill="344E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350"/>
            <w:shd w:fill="344E4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1.0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Initial API architecture and resource contract baseline, covering all resources, auth, authorization, and conventions.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Established the REST contract needed to move into detailed endpoint design and the Database Design Specification.</w:t>
            </w:r>
          </w:p>
        </w:tc>
      </w:tr>
      <w:tr>
        <w:tc>
          <w:tcPr>
            <w:tcW w:type="dxa" w:w="110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1.1</w:t>
            </w:r>
          </w:p>
        </w:tc>
        <w:tc>
          <w:tcPr>
            <w:tcW w:type="dxa" w:w="490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Version aligned with Screen-to-Domain Mapping Matrix v1.1. Confirmed and cross-referenced that Suppliers (Section 14) sit under Purchasing, not CRM — this document already reflected that placement, so no endpoint changed, but the alignment is now stated explicitly.</w:t>
            </w:r>
          </w:p>
        </w:tc>
        <w:tc>
          <w:tcPr>
            <w:tcW w:type="dxa" w:w="335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Keeps all BMS baseline documents citing the same domain boundary for Suppliers, so no future reader finds a mismatch between the API spec and the screen matrix.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1.1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Added a Cancelled state to the Purchase Order workflow diagram (Section 15).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The endpoint POST /api/v1/purchase-orders/:id/cancel already existed in Section 15, but the workflow diagram only showed Draft → Submitted → Approved → Received. An endpoint with no state in the diagram is a spec gap.</w:t>
            </w:r>
          </w:p>
        </w:tc>
      </w:tr>
      <w:tr>
        <w:tc>
          <w:tcPr>
            <w:tcW w:type="dxa" w:w="110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1.1</w:t>
            </w:r>
          </w:p>
        </w:tc>
        <w:tc>
          <w:tcPr>
            <w:tcW w:type="dxa" w:w="490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Flagged an open question on the Administration vs. Membership &amp; Access boundary (Section 21).</w:t>
            </w:r>
          </w:p>
        </w:tc>
        <w:tc>
          <w:tcPr>
            <w:tcW w:type="dxa" w:w="3350"/>
            <w:shd w:fill="F2EF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36B00"/>
                <w:sz w:val="19"/>
                <w:szCs w:val="19"/>
              </w:rPr>
              <w:t xml:space="preserve">Both domains are described elsewhere as owning roles/permissions, and User Management endpoints split across the two without a stated rule for which owns what. Flagged rather than resolved silently, since it affects endpoint placement.</w:t>
            </w:r>
          </w:p>
        </w:tc>
      </w:tr>
    </w:tbl>
    <w:p>
      <w:pPr>
        <w:pStyle w:val="Heading1"/>
        <w:spacing w:after="200" w:before="400"/>
      </w:pPr>
      <w:r>
        <w:t xml:space="preserve">1. Purpose</w:t>
      </w:r>
    </w:p>
    <w:p>
      <w:pPr>
        <w:spacing w:after="160"/>
      </w:pPr>
      <w:r>
        <w:t xml:space="preserve">The BMS API provides the communication contract between the frontend application and backend services.</w:t>
      </w:r>
    </w:p>
    <w:p>
      <w:pPr>
        <w:spacing w:after="160"/>
      </w:pPr>
      <w:r>
        <w:t xml:space="preserve">It defines: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URL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Request/response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boundaries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operations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versioning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OpenAPI documentation</w:t>
      </w:r>
    </w:p>
    <w:p>
      <w:pPr>
        <w:spacing w:after="160"/>
      </w:pPr>
      <w:r>
        <w:t xml:space="preserve">The API is the boundary between the application layer and the domain layer.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Frontend</w:t>
      </w:r>
      <w:r>
        <w:rPr>
          <w:rFonts w:ascii="Consolas" w:cs="Consolas" w:eastAsia="Consolas" w:hAnsi="Consolas"/>
          <w:sz w:val="18"/>
          <w:szCs w:val="18"/>
        </w:rPr>
        <w:br/>
        <w:t xml:space="preserve">   ↓</w:t>
      </w:r>
      <w:r>
        <w:rPr>
          <w:rFonts w:ascii="Consolas" w:cs="Consolas" w:eastAsia="Consolas" w:hAnsi="Consolas"/>
          <w:sz w:val="18"/>
          <w:szCs w:val="18"/>
        </w:rPr>
        <w:br/>
        <w:t xml:space="preserve">REST API</w:t>
      </w:r>
      <w:r>
        <w:rPr>
          <w:rFonts w:ascii="Consolas" w:cs="Consolas" w:eastAsia="Consolas" w:hAnsi="Consolas"/>
          <w:sz w:val="18"/>
          <w:szCs w:val="18"/>
        </w:rPr>
        <w:br/>
        <w:t xml:space="preserve">   ↓</w:t>
      </w:r>
      <w:r>
        <w:rPr>
          <w:rFonts w:ascii="Consolas" w:cs="Consolas" w:eastAsia="Consolas" w:hAnsi="Consolas"/>
          <w:sz w:val="18"/>
          <w:szCs w:val="18"/>
        </w:rPr>
        <w:br/>
        <w:t xml:space="preserve">Application 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   ↓</w:t>
      </w:r>
      <w:r>
        <w:rPr>
          <w:rFonts w:ascii="Consolas" w:cs="Consolas" w:eastAsia="Consolas" w:hAnsi="Consolas"/>
          <w:sz w:val="18"/>
          <w:szCs w:val="18"/>
        </w:rPr>
        <w:br/>
        <w:t xml:space="preserve">Domain</w:t>
      </w:r>
      <w:r>
        <w:rPr>
          <w:rFonts w:ascii="Consolas" w:cs="Consolas" w:eastAsia="Consolas" w:hAnsi="Consolas"/>
          <w:sz w:val="18"/>
          <w:szCs w:val="18"/>
        </w:rPr>
        <w:br/>
        <w:t xml:space="preserve">   ↓</w:t>
      </w:r>
      <w:r>
        <w:rPr>
          <w:rFonts w:ascii="Consolas" w:cs="Consolas" w:eastAsia="Consolas" w:hAnsi="Consolas"/>
          <w:sz w:val="18"/>
          <w:szCs w:val="18"/>
        </w:rPr>
        <w:br/>
        <w:t xml:space="preserve">Persistence</w:t>
      </w:r>
    </w:p>
    <w:p>
      <w:pPr>
        <w:pStyle w:val="Heading1"/>
        <w:spacing w:after="200" w:before="400"/>
      </w:pPr>
      <w:r>
        <w:t xml:space="preserve">2. API Architecture</w:t>
      </w:r>
    </w:p>
    <w:p>
      <w:pPr>
        <w:spacing w:after="160"/>
      </w:pPr>
      <w:r>
        <w:t xml:space="preserve">The production API will use REST.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/api/v1/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/api/v1/products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/api/v1/inventory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/api/v1/suppliers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/api/v1/purchase-orders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/api/v1/sales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/api/v1/payments</w:t>
      </w:r>
    </w:p>
    <w:p>
      <w:pPr>
        <w:spacing w:after="160"/>
      </w:pPr>
      <w:r>
        <w:t xml:space="preserve">The existing SDD explicitly establishes URL-based versioning using /api/v1/.</w:t>
      </w:r>
    </w:p>
    <w:p>
      <w:pPr>
        <w:pStyle w:val="Heading1"/>
        <w:spacing w:after="200" w:before="400"/>
      </w:pPr>
      <w:r>
        <w:t xml:space="preserve">3. API Design Principles</w:t>
      </w:r>
    </w:p>
    <w:p>
      <w:pPr>
        <w:spacing w:after="160"/>
      </w:pPr>
      <w:r>
        <w:t xml:space="preserve">The API follows these principles: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RESTful resource-oriented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 API versioning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Stateless access-token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and permission authorization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Multi-tenant isolation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response structures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error structures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 for collection 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Idempotency for sensitive operations where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OpenAPI documentation</w:t>
      </w:r>
    </w:p>
    <w:p>
      <w:pPr>
        <w:pStyle w:val="Heading1"/>
        <w:spacing w:after="200" w:before="400"/>
      </w:pPr>
      <w:r>
        <w:t xml:space="preserve">4. Authentication</w:t>
      </w:r>
    </w:p>
    <w:p>
      <w:pPr>
        <w:spacing w:after="160"/>
      </w:pPr>
      <w:r>
        <w:t xml:space="preserve">Authentication belongs to the Identity Domain.</w:t>
      </w:r>
    </w:p>
    <w:p>
      <w:pPr>
        <w:spacing w:after="160"/>
      </w:pPr>
      <w:r>
        <w:t xml:space="preserve">The Identity domain owns: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providers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Sign-In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recovery</w:t>
      </w:r>
    </w:p>
    <w:p>
      <w:pPr>
        <w:spacing w:after="160"/>
      </w:pPr>
      <w:r>
        <w:rPr>
          <w:b/>
          <w:bCs/>
        </w:rPr>
        <w:t xml:space="preserve">Endpoints: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/api/v1/auth/google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/api/v1/auth/refresh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/api/v1/auth/logout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/api/v1/auth/forgot-password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/api/v1/auth/reset-password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/api/v1/auth/me</w:t>
      </w:r>
    </w:p>
    <w:p>
      <w:pPr>
        <w:spacing w:after="160"/>
      </w:pPr>
      <w:r>
        <w:rPr>
          <w:b/>
          <w:bCs/>
        </w:rPr>
        <w:t xml:space="preserve">Login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/api/v1/auth/login</w:t>
      </w:r>
    </w:p>
    <w:p>
      <w:pPr>
        <w:spacing w:after="160"/>
      </w:pPr>
      <w:r>
        <w:t xml:space="preserve">Request: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"email": "user@example.com",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"password": "password"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Response: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"accessToken":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"refreshToken":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"expiresIn": 900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The existing SDD specifies a 15-minute access token and 7-day refresh token, using RS256.</w:t>
      </w:r>
    </w:p>
    <w:p>
      <w:pPr>
        <w:pStyle w:val="Heading1"/>
        <w:spacing w:after="200" w:before="400"/>
      </w:pPr>
      <w:r>
        <w:t xml:space="preserve">5. Google Authentication</w:t>
      </w:r>
    </w:p>
    <w:p>
      <w:pPr>
        <w:spacing w:after="160"/>
      </w:pPr>
      <w:r>
        <w:t xml:space="preserve">Google Sign-In remains part of the Identity domain.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User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Continue with Google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Google Authentication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BMS verifies 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Existing Identity?</w:t>
      </w:r>
      <w:r>
        <w:rPr>
          <w:rFonts w:ascii="Consolas" w:cs="Consolas" w:eastAsia="Consolas" w:hAnsi="Consolas"/>
          <w:sz w:val="18"/>
          <w:szCs w:val="18"/>
        </w:rPr>
        <w:br/>
        <w:t xml:space="preserve"> ├── Yes → Authenticate</w:t>
      </w:r>
      <w:r>
        <w:rPr>
          <w:rFonts w:ascii="Consolas" w:cs="Consolas" w:eastAsia="Consolas" w:hAnsi="Consolas"/>
          <w:sz w:val="18"/>
          <w:szCs w:val="18"/>
        </w:rPr>
        <w:br/>
        <w:t xml:space="preserve"> │</w:t>
      </w:r>
      <w:r>
        <w:rPr>
          <w:rFonts w:ascii="Consolas" w:cs="Consolas" w:eastAsia="Consolas" w:hAnsi="Consolas"/>
          <w:sz w:val="18"/>
          <w:szCs w:val="18"/>
        </w:rPr>
        <w:br/>
        <w:t xml:space="preserve"> └── No → Create/complete 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Resolve Memberships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Workspace</w:t>
      </w:r>
    </w:p>
    <w:p>
      <w:pPr>
        <w:spacing w:after="160"/>
      </w:pPr>
      <w:r>
        <w:t xml:space="preserve">The API should therefore not create a second account when the Google identity corresponds to an existing BMS identity.</w:t>
      </w:r>
    </w:p>
    <w:p>
      <w:pPr>
        <w:pStyle w:val="Heading1"/>
        <w:spacing w:after="200" w:before="400"/>
      </w:pPr>
      <w:r>
        <w:t xml:space="preserve">6. Workspace &amp; Context</w:t>
      </w:r>
    </w:p>
    <w:p>
      <w:pPr>
        <w:spacing w:after="160"/>
      </w:pPr>
      <w:r>
        <w:t xml:space="preserve">The user has one identity but may have multiple memberships.</w:t>
      </w:r>
    </w:p>
    <w:p>
      <w:pPr>
        <w:spacing w:after="160"/>
      </w:pPr>
      <w:r>
        <w:t xml:space="preserve">The Domain Blueprint explicitly establishes Membership as the mechanism controlling access to organizations, businesses and branches.</w:t>
      </w:r>
    </w:p>
    <w:p>
      <w:pPr>
        <w:spacing w:after="160"/>
      </w:pPr>
      <w:r>
        <w:rPr>
          <w:b/>
          <w:bCs/>
        </w:rPr>
        <w:t xml:space="preserve">Endpoints: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/api/v1/workspaces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/api/v1/workspaces/current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/api/v1/workspaces/switch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/api/v1/workspaces/switch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"workspaceId": "workspace-uuid"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The server then resolves: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Enabled Capabilities</w:t>
      </w:r>
    </w:p>
    <w:p>
      <w:pPr>
        <w:pStyle w:val="Heading1"/>
        <w:spacing w:after="200" w:before="400"/>
      </w:pPr>
      <w:r>
        <w:t xml:space="preserve">7. Organizations</w:t>
      </w:r>
    </w:p>
    <w:p>
      <w:pPr>
        <w:spacing w:after="160"/>
      </w:pPr>
      <w:r>
        <w:t xml:space="preserve">Organization belongs to the Organization Domain.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/api/v1/organizations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/api/v1/organizations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/api/v1/organizations/:organizationId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/api/v1/organizations/:organizationId</w:t>
      </w:r>
    </w:p>
    <w:p>
      <w:pPr>
        <w:spacing w:after="160"/>
      </w:pPr>
      <w:r>
        <w:t xml:space="preserve">The Organization domain owns the organization, organization settings, subscription and billing.</w:t>
      </w:r>
    </w:p>
    <w:p>
      <w:pPr>
        <w:pStyle w:val="Heading1"/>
        <w:spacing w:after="200" w:before="400"/>
      </w:pPr>
      <w:r>
        <w:t xml:space="preserve">8. Businesses</w:t>
      </w:r>
    </w:p>
    <w:p>
      <w:pPr>
        <w:spacing w:after="160"/>
      </w:pPr>
      <w:r>
        <w:t xml:space="preserve">Business belongs to the Business Domain.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/api/v1/businesses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/api/v1/businesses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/api/v1/businesses/:businessId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/api/v1/businesses/:businessId</w:t>
      </w:r>
    </w:p>
    <w:p>
      <w:pPr>
        <w:spacing w:after="160"/>
      </w:pPr>
      <w:r>
        <w:t xml:space="preserve">The Business domain owns business profile, settings, status, tax settings and receipt templates.</w:t>
      </w:r>
    </w:p>
    <w:p>
      <w:pPr>
        <w:pStyle w:val="Heading1"/>
        <w:spacing w:after="200" w:before="400"/>
      </w:pPr>
      <w:r>
        <w:t xml:space="preserve">9. Branches</w:t>
      </w:r>
    </w:p>
    <w:p>
      <w:pPr>
        <w:spacing w:after="160"/>
      </w:pPr>
      <w:r>
        <w:t xml:space="preserve">Branch belongs to the Branch Domain.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/api/v1/businesses/:businessId/branches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/api/v1/businesses/:businessId/branches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/api/v1/branches/:branchId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/api/v1/branches/:branchId</w:t>
      </w:r>
    </w:p>
    <w:p>
      <w:pPr>
        <w:spacing w:after="160"/>
      </w:pPr>
      <w:r>
        <w:t xml:space="preserve">The Branch domain owns branches, branch settings and operating hours.</w:t>
      </w:r>
    </w:p>
    <w:p>
      <w:pPr>
        <w:pStyle w:val="Heading1"/>
        <w:spacing w:after="200" w:before="400"/>
      </w:pPr>
      <w:r>
        <w:t xml:space="preserve">10. Membership &amp; Access</w:t>
      </w:r>
    </w:p>
    <w:p>
      <w:pPr>
        <w:spacing w:after="160"/>
      </w:pPr>
      <w:r>
        <w:t xml:space="preserve">This API manages the relationship between identity and business context.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/api/v1/memberships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/api/v1/memberships/invitations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/api/v1/memberships/:membershipId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/api/v1/memberships/:membershipId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/api/v1/invitations/accept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/api/v1/invitations/resend</w:t>
      </w:r>
    </w:p>
    <w:p>
      <w:pPr>
        <w:spacing w:after="160"/>
      </w:pPr>
      <w:r>
        <w:t xml:space="preserve">Responsibilities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invitations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Invitation acceptance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assignment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Permission resolution</w:t>
      </w:r>
    </w:p>
    <w:p>
      <w:pPr>
        <w:pStyle w:val="Heading1"/>
        <w:spacing w:after="200" w:before="400"/>
      </w:pPr>
      <w:r>
        <w:t xml:space="preserve">11. Products</w:t>
      </w:r>
    </w:p>
    <w:p>
      <w:pPr>
        <w:spacing w:after="160"/>
      </w:pPr>
      <w:r>
        <w:t xml:space="preserve">Product Catalog owns products, categories, brands, units, pricing and promotions.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/api/v1/products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/api/v1/products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  /api/v1/products/:productId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 /api/v1/products/:productId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/api/v1/products/:productId</w:t>
      </w:r>
    </w:p>
    <w:p>
      <w:pPr>
        <w:spacing w:after="160"/>
      </w:pPr>
      <w:r>
        <w:t xml:space="preserve">Search: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/api/v1/products?search=bisc</w:t>
      </w:r>
    </w:p>
    <w:p>
      <w:pPr>
        <w:spacing w:after="160"/>
      </w:pPr>
      <w:r>
        <w:t xml:space="preserve">Filtering: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/api/v1/products?categoryId=...</w:t>
      </w:r>
    </w:p>
    <w:p>
      <w:pPr>
        <w:pStyle w:val="Heading1"/>
        <w:spacing w:after="200" w:before="400"/>
      </w:pPr>
      <w:r>
        <w:t xml:space="preserve">12. Categories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/api/v1/categories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/api/v1/categories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  /api/v1/categories/:categoryId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 /api/v1/categories/:categoryId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/api/v1/categories/:categoryId</w:t>
      </w:r>
    </w:p>
    <w:p>
      <w:pPr>
        <w:spacing w:after="160"/>
      </w:pPr>
      <w:r>
        <w:t xml:space="preserve">Category hierarchy is represented through the Product Catalog domain.</w:t>
      </w:r>
    </w:p>
    <w:p>
      <w:pPr>
        <w:pStyle w:val="Heading1"/>
        <w:spacing w:after="200" w:before="400"/>
      </w:pPr>
      <w:r>
        <w:t xml:space="preserve">13. Inventory</w:t>
      </w:r>
    </w:p>
    <w:p>
      <w:pPr>
        <w:spacing w:after="160"/>
      </w:pPr>
      <w:r>
        <w:t xml:space="preserve">Inventory owns inventory records, stock adjustments and stock transfers.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/api/v1/inventory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/api/v1/inventory/:inventoryId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/api/v1/inventory/adjustments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/api/v1/inventory/adjustments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/api/v1/inventory/low-stock</w:t>
      </w:r>
    </w:p>
    <w:p>
      <w:pPr>
        <w:spacing w:after="160"/>
      </w:pPr>
      <w:r>
        <w:t xml:space="preserve">Stock adjustment: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"productId":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"branchId":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"quantity": 10,</w:t>
      </w:r>
      <w:r>
        <w:rPr>
          <w:rFonts w:ascii="Consolas" w:cs="Consolas" w:eastAsia="Consolas" w:hAnsi="Consolas"/>
          <w:sz w:val="18"/>
          <w:szCs w:val="18"/>
        </w:rPr>
        <w:br/>
        <w:t xml:space="preserve">  "reason": "Damaged stock"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Suppliers  (confirmed under Purchasing — v1.1 cross-check)</w:t>
      </w:r>
    </w:p>
    <w:p>
      <w:pPr>
        <w:spacing w:after="160"/>
      </w:pPr>
      <w:r>
        <w:t xml:space="preserve">Suppliers belong to Purchasing.</w:t>
      </w:r>
    </w:p>
    <w:p>
      <w:pPr>
        <w:spacing w:after="160"/>
      </w:pPr>
      <w:r>
        <w:t xml:space="preserve">Therefore: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Purchasing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Suppliers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Purchase Orders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Goods Receiving</w:t>
      </w:r>
    </w:p>
    <w:p>
      <w:pPr>
        <w:spacing w:after="160"/>
      </w:pPr>
      <w:r>
        <w:t xml:space="preserve">not CRM.</w:t>
      </w:r>
    </w:p>
    <w:p>
      <w:pPr>
        <w:pBdr>
          <w:left w:val="single" w:color="DDA15E" w:sz="12"/>
        </w:pBdr>
        <w:spacing w:after="200" w:before="100"/>
        <w:ind w:left="200"/>
      </w:pPr>
      <w:r>
        <w:rPr>
          <w:i/>
          <w:iCs/>
          <w:color w:val="555555"/>
          <w:sz w:val="20"/>
          <w:szCs w:val="20"/>
        </w:rPr>
        <w:t xml:space="preserve">This placement matches the BMS Screen-to-Domain Mapping Matrix v1.1, which reassigned Supplier Management from CRM to Purchasing. This API spec already had Suppliers under Purchasing in v1.0 — v1.1 simply confirms the two documents are in agreement, so no endpoint below changes.</w:t>
      </w:r>
    </w:p>
    <w:p>
      <w:pPr>
        <w:spacing w:after="160"/>
      </w:pPr>
      <w:r>
        <w:rPr>
          <w:b/>
          <w:bCs/>
        </w:rPr>
        <w:t xml:space="preserve">Endpoints: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/api/v1/suppliers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/api/v1/suppliers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  /api/v1/suppliers/:supplierId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 /api/v1/suppliers/:supplierId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/api/v1/suppliers/:supplierId</w:t>
      </w:r>
    </w:p>
    <w:p>
      <w:pPr>
        <w:pStyle w:val="Heading1"/>
        <w:spacing w:after="200" w:before="400"/>
      </w:pPr>
      <w:r>
        <w:t xml:space="preserve">15. Purchase Orders</w:t>
      </w:r>
    </w:p>
    <w:p>
      <w:pPr>
        <w:spacing w:after="160"/>
      </w:pPr>
      <w:r>
        <w:t xml:space="preserve">Purchasing owns purchase orders and goods receiving.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/api/v1/purchase-orders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/api/v1/purchase-orders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/api/v1/purchase-orders/:purchaseOrderId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/api/v1/purchase-orders/:purchaseOrderId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/api/v1/purchase-orders/:id/submit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/api/v1/purchase-orders/:id/approve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/api/v1/purchase-orders/:id/cancel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/api/v1/purchase-orders/:id/receive</w:t>
      </w:r>
    </w:p>
    <w:p>
      <w:pPr>
        <w:spacing w:after="160"/>
      </w:pPr>
      <w:r>
        <w:rPr>
          <w:b/>
          <w:bCs/>
        </w:rPr>
        <w:t xml:space="preserve">Workflow: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color w:val="B36B00"/>
          <w:sz w:val="18"/>
          <w:szCs w:val="18"/>
        </w:rPr>
        <w:t xml:space="preserve">Draft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Submitted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Approved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Received</w:t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B36B00"/>
          <w:sz w:val="18"/>
          <w:szCs w:val="18"/>
        </w:rPr>
        <w:br/>
        <w:t xml:space="preserve">Cancelled  ← reachable from Draft, Submitted, or Approved</w:t>
      </w:r>
    </w:p>
    <w:p>
      <w:pPr>
        <w:spacing w:after="160"/>
      </w:pPr>
      <w:r>
        <w:t xml:space="preserve">Approval itself belongs to Purchasing; stock movement occurs through Goods Receiving and Inventory.</w:t>
      </w:r>
    </w:p>
    <w:p>
      <w:pPr>
        <w:pStyle w:val="Heading1"/>
        <w:spacing w:after="200" w:before="400"/>
      </w:pPr>
      <w:r>
        <w:t xml:space="preserve">16. Customers</w:t>
      </w:r>
    </w:p>
    <w:p>
      <w:pPr>
        <w:spacing w:after="160"/>
      </w:pPr>
      <w:r>
        <w:t xml:space="preserve">Customers remain within CRM.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 /api/v1/customers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>POST   /api/v1/customers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  /api/v1/customers/:customerId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 /api/v1/customers/:customerId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/api/v1/customers/:customerId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/api/v1/customers/:customerId/purchases</w:t>
      </w:r>
    </w:p>
    <w:p>
      <w:pPr>
        <w:spacing w:after="160"/>
      </w:pPr>
      <w:r>
        <w:t xml:space="preserve">CRM owns customer relationships and customer groups.</w:t>
      </w:r>
    </w:p>
    <w:p>
      <w:pPr>
        <w:pStyle w:val="Heading1"/>
        <w:spacing w:after="200" w:before="400"/>
      </w:pPr>
      <w:r>
        <w:t xml:space="preserve">17. Sales</w:t>
      </w:r>
    </w:p>
    <w:p>
      <w:pPr>
        <w:spacing w:after="160"/>
      </w:pPr>
      <w:r>
        <w:t xml:space="preserve">Sales owns: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Receipts</w:t>
      </w:r>
    </w:p>
    <w:p>
      <w:pPr>
        <w:spacing w:after="160"/>
      </w:pPr>
      <w:r>
        <w:t xml:space="preserve">and is responsible for POS, checkout, returns and receipt generation.</w:t>
      </w:r>
    </w:p>
    <w:p>
      <w:pPr>
        <w:spacing w:after="160"/>
      </w:pPr>
      <w:r>
        <w:rPr>
          <w:b/>
          <w:bCs/>
        </w:rPr>
        <w:t xml:space="preserve">Endpoints: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/api/v1/sales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/api/v1/sales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/api/v1/sales/:saleId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/api/v1/sales/:saleId/cancel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/api/v1/sales/:saleId/refund</w:t>
      </w:r>
    </w:p>
    <w:p>
      <w:pPr>
        <w:pStyle w:val="Heading1"/>
        <w:spacing w:after="200" w:before="400"/>
      </w:pPr>
      <w:r>
        <w:t xml:space="preserve">18. Held Sales</w:t>
      </w:r>
    </w:p>
    <w:p>
      <w:pPr>
        <w:spacing w:after="160"/>
      </w:pPr>
      <w:r>
        <w:t xml:space="preserve">Held sales are part of Sales.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/api/v1/sales/held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/api/v1/sales/held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   /api/v1/sales/held/:heldSaleId</w:t>
      </w:r>
      <w:r>
        <w:rPr>
          <w:rFonts w:ascii="Consolas" w:cs="Consolas" w:eastAsia="Consolas" w:hAnsi="Consolas"/>
          <w:sz w:val="18"/>
          <w:szCs w:val="18"/>
        </w:rPr>
        <w:br/>
        <w:t xml:space="preserve">DELETE /api/v1/sales/held/:heldSaleId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/api/v1/sales/held/:heldSaleId/resume</w:t>
      </w:r>
    </w:p>
    <w:p>
      <w:pPr>
        <w:spacing w:after="160"/>
      </w:pPr>
      <w:r>
        <w:t xml:space="preserve">This supports the POS workflow we designed: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Current Sale</w:t>
      </w:r>
      <w:r>
        <w:rPr>
          <w:rFonts w:ascii="Consolas" w:cs="Consolas" w:eastAsia="Consolas" w:hAnsi="Consolas"/>
          <w:sz w:val="18"/>
          <w:szCs w:val="18"/>
        </w:rPr>
        <w:br/>
        <w:t xml:space="preserve">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Hold Sale</w:t>
      </w:r>
      <w:r>
        <w:rPr>
          <w:rFonts w:ascii="Consolas" w:cs="Consolas" w:eastAsia="Consolas" w:hAnsi="Consolas"/>
          <w:sz w:val="18"/>
          <w:szCs w:val="18"/>
        </w:rPr>
        <w:br/>
        <w:t xml:space="preserve">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Start New Sale</w:t>
      </w:r>
      <w:r>
        <w:rPr>
          <w:rFonts w:ascii="Consolas" w:cs="Consolas" w:eastAsia="Consolas" w:hAnsi="Consolas"/>
          <w:sz w:val="18"/>
          <w:szCs w:val="18"/>
        </w:rPr>
        <w:br/>
        <w:t xml:space="preserve">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Resume Held Sale</w:t>
      </w:r>
    </w:p>
    <w:p>
      <w:pPr>
        <w:pStyle w:val="Heading1"/>
        <w:spacing w:after="200" w:before="400"/>
      </w:pPr>
      <w:r>
        <w:t xml:space="preserve">19. Payments</w:t>
      </w:r>
    </w:p>
    <w:p>
      <w:pPr>
        <w:spacing w:after="160"/>
      </w:pPr>
      <w:r>
        <w:t xml:space="preserve">Payment is its own domain.</w:t>
      </w:r>
    </w:p>
    <w:p>
      <w:pPr>
        <w:spacing w:after="160"/>
      </w:pPr>
      <w:r>
        <w:t xml:space="preserve">It owns payment transactions and handles: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M-Pesa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Refunds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/api/v1/payments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/api/v1/payments/:paymentId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/api/v1/payments/:paymentId/confirm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/api/v1/payments/:paymentId/cancel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/api/v1/payments/:paymentId/refund</w:t>
      </w:r>
    </w:p>
    <w:p>
      <w:pPr>
        <w:pStyle w:val="Heading2"/>
        <w:spacing w:after="140" w:before="260"/>
      </w:pPr>
      <w:r>
        <w:t xml:space="preserve">M-Pesa</w:t>
      </w:r>
    </w:p>
    <w:p>
      <w:pPr>
        <w:spacing w:after="160"/>
      </w:pPr>
      <w:r>
        <w:t xml:space="preserve">The exact integration contract will depend on the selected payment provider/API.</w:t>
      </w:r>
    </w:p>
    <w:p>
      <w:pPr>
        <w:spacing w:after="160"/>
      </w:pPr>
      <w:r>
        <w:t xml:space="preserve">We should not invent the provider-specific endpoints yet.</w:t>
      </w:r>
    </w:p>
    <w:p>
      <w:pPr>
        <w:spacing w:after="160"/>
      </w:pPr>
      <w:r>
        <w:t xml:space="preserve">The BMS API should expose an abstraction such as: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/api/v1/payments</w:t>
      </w:r>
    </w:p>
    <w:p>
      <w:pPr>
        <w:spacing w:after="160"/>
      </w:pPr>
      <w:r>
        <w:t xml:space="preserve">with: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"saleId": "...",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"method": "MPESA",</w:t>
      </w:r>
      <w:r>
        <w:rPr>
          <w:rFonts w:ascii="Consolas" w:cs="Consolas" w:eastAsia="Consolas" w:hAnsi="Consolas"/>
          <w:sz w:val="18"/>
          <w:szCs w:val="18"/>
        </w:rPr>
        <w:br/>
        <w:t xml:space="preserve">  "amount": 1500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The Payment domain then handles the provider interaction.</w:t>
      </w:r>
    </w:p>
    <w:p>
      <w:pPr>
        <w:pStyle w:val="Heading1"/>
        <w:spacing w:after="200" w:before="400"/>
      </w:pPr>
      <w:r>
        <w:t xml:space="preserve">20. Reports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/api/v1/reports/sales</w:t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/api/v1/reports/inventory</w:t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/api/v1/reports/purchases</w:t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/api/v1/reports/low-stock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/api/v1/reports/:reportType/export</w:t>
      </w:r>
    </w:p>
    <w:p>
      <w:pPr>
        <w:spacing w:after="160"/>
      </w:pPr>
      <w:r>
        <w:t xml:space="preserve">The Reporting domain consumes events such as SaleCompleted, PaymentReceived and LowStockDetected.</w:t>
      </w:r>
    </w:p>
    <w:p>
      <w:pPr>
        <w:pStyle w:val="Heading1"/>
        <w:spacing w:after="200" w:before="400"/>
      </w:pPr>
      <w:r>
        <w:t xml:space="preserve">21. User Management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/api/v1/users</w:t>
      </w:r>
      <w:r>
        <w:rPr>
          <w:rFonts w:ascii="Consolas" w:cs="Consolas" w:eastAsia="Consolas" w:hAnsi="Consolas"/>
          <w:sz w:val="18"/>
          <w:szCs w:val="18"/>
        </w:rPr>
        <w:br/>
        <w:t xml:space="preserve">GET   /api/v1/users/:userId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/api/v1/users/:userId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/api/v1/users/:userId/activate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/api/v1/users/:userId/deactivate</w:t>
      </w:r>
    </w:p>
    <w:p>
      <w:pPr>
        <w:spacing w:after="160"/>
      </w:pPr>
      <w:r>
        <w:t xml:space="preserve">Role management belongs to Membership &amp; Access: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/api/v1/roles</w:t>
      </w:r>
      <w:r>
        <w:rPr>
          <w:rFonts w:ascii="Consolas" w:cs="Consolas" w:eastAsia="Consolas" w:hAnsi="Consolas"/>
          <w:sz w:val="18"/>
          <w:szCs w:val="18"/>
        </w:rPr>
        <w:br/>
        <w:t xml:space="preserve">GET  /api/v1/permissions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/api/v1/memberships/:id/role</w:t>
      </w:r>
    </w:p>
    <w:p>
      <w:pPr>
        <w:pBdr>
          <w:left w:val="single" w:color="B36B00" w:sz="12"/>
        </w:pBdr>
        <w:shd w:fill="FBF1DF" w:val="clear"/>
        <w:spacing w:after="200" w:before="100"/>
        <w:ind w:left="200"/>
      </w:pPr>
      <w:r>
        <w:rPr>
          <w:b/>
          <w:bCs/>
          <w:color w:val="B36B00"/>
        </w:rPr>
        <w:t xml:space="preserve">⚑ Open question:  </w:t>
      </w:r>
      <w:r>
        <w:t xml:space="preserve">The Screen-to-Domain Mapping Matrix assigns Staff List and Role Assignment to “Administration + Membership,” and this API spec splits the same area the same way — user CRUD sits here under a plain /users path with no stated domain owner, while role/permission endpoints sit under Membership &amp; Access. If Administration is meant to own users, roles, permissions, and audit logs (as stated elsewhere), and Membership &amp; Access is meant to own membership, roles, permissions and invitations, the two domains currently claim overlapping ownership of roles and permissions. Worth resolving which domain is authoritative for role/permission writes before the Database Design Specification assigns tables to one owner.</w:t>
      </w:r>
    </w:p>
    <w:p>
      <w:pPr>
        <w:pStyle w:val="Heading1"/>
        <w:spacing w:after="200" w:before="400"/>
      </w:pPr>
      <w:r>
        <w:t xml:space="preserve">22. Profile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  /api/v1/profile</w:t>
      </w:r>
      <w:r>
        <w:rPr>
          <w:rFonts w:ascii="Consolas" w:cs="Consolas" w:eastAsia="Consolas" w:hAnsi="Consolas"/>
          <w:sz w:val="18"/>
          <w:szCs w:val="18"/>
        </w:rPr>
        <w:br/>
        <w:t xml:space="preserve">PATCH /api/v1/profile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/api/v1/profile/change-password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GET /api/v1/profile/sessions</w:t>
      </w:r>
      <w:r>
        <w:rPr>
          <w:rFonts w:ascii="Consolas" w:cs="Consolas" w:eastAsia="Consolas" w:hAnsi="Consolas"/>
          <w:sz w:val="18"/>
          <w:szCs w:val="18"/>
        </w:rPr>
        <w:br/>
        <w:t xml:space="preserve">POST /api/v1/profile/sessions/:id/revoke</w:t>
      </w:r>
    </w:p>
    <w:p>
      <w:pPr>
        <w:pStyle w:val="Heading1"/>
        <w:spacing w:after="200" w:before="400"/>
      </w:pPr>
      <w:r>
        <w:t xml:space="preserve">23. Standard Response</w:t>
      </w:r>
    </w:p>
    <w:p>
      <w:pPr>
        <w:spacing w:after="160"/>
      </w:pPr>
      <w:r>
        <w:t xml:space="preserve">The existing SDD has already established the response envelope: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{},</w:t>
      </w:r>
      <w:r>
        <w:rPr>
          <w:rFonts w:ascii="Consolas" w:cs="Consolas" w:eastAsia="Consolas" w:hAnsi="Consolas"/>
          <w:sz w:val="18"/>
          <w:szCs w:val="18"/>
        </w:rPr>
        <w:br/>
        <w:t xml:space="preserve">  "meta": {}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For paginated results: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"success":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"data": [],</w:t>
      </w:r>
      <w:r>
        <w:rPr>
          <w:rFonts w:ascii="Consolas" w:cs="Consolas" w:eastAsia="Consolas" w:hAnsi="Consolas"/>
          <w:sz w:val="18"/>
          <w:szCs w:val="18"/>
        </w:rPr>
        <w:br/>
        <w:t xml:space="preserve">  "meta":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"totalItems": 100,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"itemCount": 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"perPage": 20,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"totalPages":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"currentPage": 1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This is directly specified in the existing SDD.</w:t>
      </w:r>
    </w:p>
    <w:p>
      <w:pPr>
        <w:pStyle w:val="Heading1"/>
        <w:spacing w:after="200" w:before="400"/>
      </w:pPr>
      <w:r>
        <w:t xml:space="preserve">24. Error Response</w:t>
      </w:r>
    </w:p>
    <w:p>
      <w:pPr>
        <w:spacing w:after="160"/>
      </w:pPr>
      <w:r>
        <w:t xml:space="preserve">All errors use a standardized structure.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"statusCode": 409,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"timestamp": "2026-07-08T12:39:00.000Z",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"path": "/api/v1/products",</w:t>
      </w:r>
      <w:r>
        <w:rPr>
          <w:rFonts w:ascii="Consolas" w:cs="Consolas" w:eastAsia="Consolas" w:hAnsi="Consolas"/>
          <w:sz w:val="18"/>
          <w:szCs w:val="18"/>
        </w:rPr>
        <w:br/>
        <w:t xml:space="preserve">  "message": "Product SKU already exists within this business tenant.",</w:t>
      </w:r>
      <w:r>
        <w:rPr>
          <w:rFonts w:ascii="Consolas" w:cs="Consolas" w:eastAsia="Consolas" w:hAnsi="Consolas"/>
          <w:sz w:val="18"/>
          <w:szCs w:val="18"/>
        </w:rPr>
        <w:br/>
        <w:t xml:space="preserve">  "error": "Conflict"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The existing SDD specifies centralized NestJS exception handling for this purpose.</w:t>
      </w:r>
    </w:p>
    <w:p>
      <w:pPr>
        <w:spacing w:after="160"/>
      </w:pPr>
      <w:r>
        <w:t xml:space="preserve">Standard categories: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400 Bad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Unauthorized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403 Forbidden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404 Not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409 Conflict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422 Unprocessable Entity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429 Too Many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500 Internal Server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503 Service Unavailable</w:t>
      </w:r>
    </w:p>
    <w:p>
      <w:pPr>
        <w:pStyle w:val="Heading1"/>
        <w:spacing w:after="200" w:before="400"/>
      </w:pPr>
      <w:r>
        <w:t xml:space="preserve">25. Validation</w:t>
      </w:r>
    </w:p>
    <w:p>
      <w:pPr>
        <w:spacing w:after="160"/>
      </w:pPr>
      <w:r>
        <w:t xml:space="preserve">All incoming requests should be validated through DTOs.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/api/v1/products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CreateProductDto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Validation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Application Service</w:t>
      </w:r>
    </w:p>
    <w:p>
      <w:pPr>
        <w:spacing w:after="160"/>
      </w:pPr>
      <w:r>
        <w:t xml:space="preserve">Validation should occur before domain operations are executed.</w:t>
      </w:r>
    </w:p>
    <w:p>
      <w:pPr>
        <w:spacing w:after="160"/>
      </w:pPr>
      <w:r>
        <w:t xml:space="preserve">The existing SDD identifies DTO validation as part of the API interface design.</w:t>
      </w:r>
    </w:p>
    <w:p>
      <w:pPr>
        <w:pStyle w:val="Heading1"/>
        <w:spacing w:after="200" w:before="400"/>
      </w:pPr>
      <w:r>
        <w:t xml:space="preserve">26. Pagination</w:t>
      </w:r>
    </w:p>
    <w:p>
      <w:pPr>
        <w:spacing w:after="160"/>
      </w:pPr>
      <w:r>
        <w:t xml:space="preserve">Collection endpoints use pagination.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/api/v1/products?page=1&amp;perPage=20</w:t>
      </w:r>
    </w:p>
    <w:p>
      <w:pPr>
        <w:spacing w:after="160"/>
      </w:pPr>
      <w:r>
        <w:t xml:space="preserve">Optional: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perPage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/api/v1/products?search=biscuit&amp;categoryId=123&amp;page=1&amp;perPage=20</w:t>
      </w:r>
    </w:p>
    <w:p>
      <w:pPr>
        <w:pStyle w:val="Heading1"/>
        <w:spacing w:after="200" w:before="400"/>
      </w:pPr>
      <w:r>
        <w:t xml:space="preserve">27. Multi-Tenant Context</w:t>
      </w:r>
    </w:p>
    <w:p>
      <w:pPr>
        <w:spacing w:after="160"/>
      </w:pPr>
      <w:r>
        <w:rPr>
          <w:b/>
          <w:bCs/>
        </w:rPr>
        <w:t xml:space="preserve">This is critical.</w:t>
      </w:r>
    </w:p>
    <w:p>
      <w:pPr>
        <w:spacing w:after="160"/>
      </w:pPr>
      <w:r>
        <w:t xml:space="preserve">A request must never be allowed to access another business's data simply because the caller knows an ID.</w:t>
      </w:r>
    </w:p>
    <w:p>
      <w:pPr>
        <w:spacing w:after="160"/>
      </w:pPr>
      <w:r>
        <w:t xml:space="preserve">The backend resolves: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Authenticated 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Membership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Organization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Business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Branch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Permission</w:t>
      </w:r>
    </w:p>
    <w:p>
      <w:pPr>
        <w:spacing w:after="160"/>
      </w:pPr>
      <w:r>
        <w:t xml:space="preserve">Then the domain query is scoped to that context.</w:t>
      </w:r>
    </w:p>
    <w:p>
      <w:pPr>
        <w:spacing w:after="160"/>
      </w:pPr>
      <w:r>
        <w:t xml:space="preserve">For 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GET /api/v1/products/123</w:t>
      </w:r>
    </w:p>
    <w:p>
      <w:pPr>
        <w:spacing w:after="160"/>
      </w:pPr>
      <w:r>
        <w:t xml:space="preserve">does not mean:</w:t>
      </w:r>
    </w:p>
    <w:p>
      <w:pPr>
        <w:spacing w:after="160"/>
      </w:pPr>
      <w:r>
        <w:rPr>
          <w:i/>
          <w:iCs/>
        </w:rPr>
        <w:t xml:space="preserve">"Return product 123."</w:t>
      </w:r>
    </w:p>
    <w:p>
      <w:pPr>
        <w:spacing w:after="160"/>
      </w:pPr>
      <w:r>
        <w:t xml:space="preserve">It means:</w:t>
      </w:r>
    </w:p>
    <w:p>
      <w:pPr>
        <w:spacing w:after="160"/>
      </w:pPr>
      <w:r>
        <w:rPr>
          <w:i/>
          <w:iCs/>
        </w:rPr>
        <w:t xml:space="preserve">"Return product 123 if it belongs to the user's active authorized business/branch context."</w:t>
      </w:r>
    </w:p>
    <w:p>
      <w:pPr>
        <w:spacing w:after="160"/>
      </w:pPr>
      <w:r>
        <w:t xml:space="preserve">This is fundamental to the multi-tenant architecture.</w:t>
      </w:r>
    </w:p>
    <w:p>
      <w:pPr>
        <w:pStyle w:val="Heading1"/>
        <w:spacing w:after="200" w:before="400"/>
      </w:pPr>
      <w:r>
        <w:t xml:space="preserve">28. Authorization</w:t>
      </w:r>
    </w:p>
    <w:p>
      <w:pPr>
        <w:spacing w:after="160"/>
      </w:pPr>
      <w:r>
        <w:t xml:space="preserve">Authentication answers:</w:t>
      </w:r>
    </w:p>
    <w:p>
      <w:pPr>
        <w:spacing w:after="160"/>
      </w:pPr>
      <w:r>
        <w:rPr>
          <w:b/>
          <w:bCs/>
        </w:rPr>
        <w:t xml:space="preserve">Who are you?</w:t>
      </w:r>
    </w:p>
    <w:p>
      <w:pPr>
        <w:spacing w:after="160"/>
      </w:pPr>
      <w:r>
        <w:t xml:space="preserve">Authorization answers:</w:t>
      </w:r>
    </w:p>
    <w:p>
      <w:pPr>
        <w:spacing w:after="160"/>
      </w:pPr>
      <w:r>
        <w:rPr>
          <w:b/>
          <w:bCs/>
        </w:rPr>
        <w:t xml:space="preserve">What are you allowed to do here?</w:t>
      </w:r>
    </w:p>
    <w:p>
      <w:pPr>
        <w:spacing w:after="160"/>
      </w:pPr>
      <w:r>
        <w:t xml:space="preserve">The API therefore evaluates: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JWT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Membership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Workspace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Role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Permission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Resource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PATCH /api/v1/products/:id</w:t>
      </w:r>
    </w:p>
    <w:p>
      <w:pPr>
        <w:spacing w:after="160"/>
      </w:pPr>
      <w:r>
        <w:t xml:space="preserve">Requires: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product.update</w:t>
      </w:r>
    </w:p>
    <w:p>
      <w:pPr>
        <w:spacing w:after="160"/>
      </w:pPr>
      <w:r>
        <w:t xml:space="preserve">A cashier attempting this should receive: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403 Forbidden</w:t>
      </w:r>
    </w:p>
    <w:p>
      <w:pPr>
        <w:pStyle w:val="Heading1"/>
        <w:spacing w:after="200" w:before="400"/>
      </w:pPr>
      <w:r>
        <w:t xml:space="preserve">29. Domain Events</w:t>
      </w:r>
    </w:p>
    <w:p>
      <w:pPr>
        <w:spacing w:after="160"/>
      </w:pPr>
      <w:r>
        <w:t xml:space="preserve">The API does not directly orchestrate every downstream operation.</w:t>
      </w:r>
    </w:p>
    <w:p>
      <w:pPr>
        <w:spacing w:after="160"/>
      </w:pPr>
      <w:r>
        <w:t xml:space="preserve">Domains communicate through defined events.</w:t>
      </w:r>
    </w:p>
    <w:p>
      <w:pPr>
        <w:spacing w:after="160"/>
      </w:pPr>
      <w:r>
        <w:t xml:space="preserve">Existing events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IdentityAuthenticated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BranchCreated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PurchaseOrderCreated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GoodsReceived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InvitationAccepted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LowStockDetected</w:t>
      </w:r>
    </w:p>
    <w:p>
      <w:pPr>
        <w:spacing w:after="160"/>
      </w:pPr>
      <w:r>
        <w:t xml:space="preserve">Example: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POST /api/v1/sales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Sales Domain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↓</w:t>
      </w:r>
      <w:r>
        <w:rPr>
          <w:rFonts w:ascii="Consolas" w:cs="Consolas" w:eastAsia="Consolas" w:hAnsi="Consolas"/>
          <w:sz w:val="18"/>
          <w:szCs w:val="18"/>
        </w:rPr>
        <w:br/>
        <w:t xml:space="preserve">SaleCompleted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├── Inventory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├── Payment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├── Reporting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└── Notification</w:t>
      </w:r>
    </w:p>
    <w:p>
      <w:pPr>
        <w:spacing w:after="160"/>
      </w:pPr>
      <w:r>
        <w:t xml:space="preserve">This preserves the domain boundaries.</w:t>
      </w:r>
    </w:p>
    <w:p>
      <w:pPr>
        <w:pStyle w:val="Heading1"/>
        <w:spacing w:after="200" w:before="400"/>
      </w:pPr>
      <w:r>
        <w:t xml:space="preserve">30. API Documentation</w:t>
      </w:r>
    </w:p>
    <w:p>
      <w:pPr>
        <w:spacing w:after="160"/>
      </w:pPr>
      <w:r>
        <w:t xml:space="preserve">The API will use OpenAPI 3.0.</w:t>
      </w:r>
    </w:p>
    <w:p>
      <w:pPr>
        <w:spacing w:after="160"/>
      </w:pPr>
      <w:r>
        <w:t xml:space="preserve">NestJS controllers and DTOs will carry OpenAPI decorators such as: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@ApiTags()</w:t>
      </w:r>
      <w:r>
        <w:rPr>
          <w:rFonts w:ascii="Consolas" w:cs="Consolas" w:eastAsia="Consolas" w:hAnsi="Consolas"/>
          <w:sz w:val="18"/>
          <w:szCs w:val="18"/>
        </w:rPr>
        <w:br/>
        <w:t xml:space="preserve">@ApiOperation()</w:t>
      </w:r>
      <w:r>
        <w:rPr>
          <w:rFonts w:ascii="Consolas" w:cs="Consolas" w:eastAsia="Consolas" w:hAnsi="Consolas"/>
          <w:sz w:val="18"/>
          <w:szCs w:val="18"/>
        </w:rPr>
        <w:br/>
        <w:t xml:space="preserve">@ApiResponse()</w:t>
      </w:r>
    </w:p>
    <w:p>
      <w:pPr>
        <w:spacing w:after="160"/>
      </w:pPr>
      <w:r>
        <w:t xml:space="preserve">The generated documentation will be available at: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/api/docs</w:t>
      </w:r>
    </w:p>
    <w:p>
      <w:pPr>
        <w:spacing w:after="160"/>
      </w:pPr>
      <w:r>
        <w:t xml:space="preserve">This is already specified in the SDD.</w:t>
      </w:r>
    </w:p>
    <w:p>
      <w:pPr>
        <w:pStyle w:val="Heading1"/>
        <w:spacing w:after="200" w:before="400"/>
      </w:pPr>
      <w:r>
        <w:t xml:space="preserve">31. API → Domain Structure</w:t>
      </w:r>
    </w:p>
    <w:p>
      <w:pPr>
        <w:spacing w:after="160"/>
      </w:pPr>
      <w:r>
        <w:t xml:space="preserve">The backend should reflect the domain boundaries: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identity/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organizations/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businesses/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branches/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memberships/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catalog/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inventory/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purchasing/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sales/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payments/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crm/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reporting/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notifications/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administration/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configuration/</w:t>
      </w:r>
    </w:p>
    <w:p>
      <w:pPr>
        <w:spacing w:after="160"/>
      </w:pPr>
      <w:r>
        <w:t xml:space="preserve">The Domain Blueprint explicitly recommends this bounded-context-to-NestJS-module mapping.</w:t>
      </w:r>
    </w:p>
    <w:p>
      <w:pPr>
        <w:pStyle w:val="Heading1"/>
        <w:spacing w:after="200" w:before="400"/>
      </w:pPr>
      <w:r>
        <w:t xml:space="preserve">32. What Is Deliberately Not Final Yet</w:t>
      </w:r>
    </w:p>
    <w:p>
      <w:pPr>
        <w:spacing w:after="160"/>
      </w:pPr>
      <w:r>
        <w:t xml:space="preserve">There are a few things I would not invent until we make the corresponding architectural decision:</w:t>
      </w:r>
    </w:p>
    <w:p>
      <w:pPr>
        <w:pStyle w:val="Heading2"/>
        <w:spacing w:after="140" w:before="260"/>
      </w:pPr>
      <w:r>
        <w:t xml:space="preserve">Payment provider</w:t>
      </w:r>
    </w:p>
    <w:p>
      <w:pPr>
        <w:spacing w:after="160"/>
      </w:pPr>
      <w:r>
        <w:t xml:space="preserve">We know the BMS supports M-Pesa and Card, but we haven't selected and documented the exact production payment provider/integration contract.</w:t>
      </w:r>
    </w:p>
    <w:p>
      <w:pPr>
        <w:pStyle w:val="Heading2"/>
        <w:spacing w:after="140" w:before="260"/>
      </w:pPr>
      <w:r>
        <w:t xml:space="preserve">File uploads</w:t>
      </w:r>
    </w:p>
    <w:p>
      <w:pPr>
        <w:spacing w:after="160"/>
      </w:pPr>
      <w:r>
        <w:t xml:space="preserve">Logo/business image upload APIs need to be defined when we finalize storage architecture.</w:t>
      </w:r>
    </w:p>
    <w:p>
      <w:pPr>
        <w:pStyle w:val="Heading2"/>
        <w:spacing w:after="140" w:before="260"/>
      </w:pPr>
      <w:r>
        <w:t xml:space="preserve">Billing/subscriptions</w:t>
      </w:r>
    </w:p>
    <w:p>
      <w:pPr>
        <w:spacing w:after="160"/>
      </w:pPr>
      <w:r>
        <w:t xml:space="preserve">The Organization domain owns subscription and billing, but the detailed billing API wasn't part of the finalized UI scope.</w:t>
      </w:r>
    </w:p>
    <w:p>
      <w:pPr>
        <w:pStyle w:val="Heading2"/>
        <w:spacing w:after="140" w:before="260"/>
      </w:pPr>
      <w:r>
        <w:t xml:space="preserve">Advanced reporting</w:t>
      </w:r>
    </w:p>
    <w:p>
      <w:pPr>
        <w:spacing w:after="160"/>
      </w:pPr>
      <w:r>
        <w:t xml:space="preserve">We know the reports required, but the exact query parameters and export formats should be defined when we specify each report.</w:t>
      </w:r>
    </w:p>
    <w:p>
      <w:pPr>
        <w:pStyle w:val="Heading2"/>
        <w:spacing w:after="140" w:before="260"/>
      </w:pPr>
      <w:r>
        <w:t xml:space="preserve">Webhooks</w:t>
      </w:r>
    </w:p>
    <w:p>
      <w:pPr>
        <w:spacing w:after="160"/>
      </w:pPr>
      <w:r>
        <w:t xml:space="preserve">Payment-provider webhooks will need their own specification once the provider is selected.</w:t>
      </w:r>
    </w:p>
    <w:p>
      <w:pPr>
        <w:spacing w:after="160"/>
      </w:pPr>
      <w:r>
        <w:t xml:space="preserve">These should remain TBD, rather than us inventing implementation details.</w:t>
      </w:r>
    </w:p>
    <w:p>
      <w:pPr>
        <w:pStyle w:val="Heading1"/>
        <w:spacing w:after="200" w:before="400"/>
      </w:pPr>
      <w:r>
        <w:t xml:space="preserve">33. API Specification Status</w:t>
      </w:r>
    </w:p>
    <w:p>
      <w:pPr>
        <w:spacing w:after="160"/>
      </w:pPr>
      <w:r>
        <w:t xml:space="preserve">At this point, the API architecture is: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REST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/api/v1/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JWT + RBAC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Workspace / Tenant Context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Domain-owned resources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DTO Validation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Standard Response Envelope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Standard Error Handling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Domain Events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OpenAPI 3.0</w:t>
      </w:r>
    </w:p>
    <w:p>
      <w:pPr>
        <w:spacing w:after="160"/>
      </w:pPr>
      <w:r>
        <w:t xml:space="preserve">This is consistent with the existing SDD and the domain architecture.</w:t>
      </w:r>
    </w:p>
    <w:p>
      <w:pPr>
        <w:pStyle w:val="Heading2"/>
        <w:spacing w:after="140" w:before="260"/>
      </w:pPr>
      <w:r>
        <w:t xml:space="preserve">One important distinction</w:t>
      </w:r>
    </w:p>
    <w:p>
      <w:pPr>
        <w:spacing w:after="160"/>
      </w:pPr>
      <w:r>
        <w:t xml:space="preserve">What we've created above is the API Specification architecture and resource contract baseline.</w:t>
      </w:r>
    </w:p>
    <w:p>
      <w:pPr>
        <w:spacing w:after="160"/>
      </w:pPr>
      <w:r>
        <w:t xml:space="preserve">We should not yet call it the final endpoint-by-endpoint contract until we produce the next level of detail:</w:t>
      </w:r>
    </w:p>
    <w:p>
      <w:pPr>
        <w:pBdr>
          <w:top w:val="single" w:color="A3B18A" w:sz="4"/>
          <w:bottom w:val="single" w:color="A3B18A" w:sz="4"/>
          <w:left w:val="single" w:color="A3B18A" w:sz="4"/>
          <w:right w:val="single" w:color="A3B18A" w:sz="4"/>
        </w:pBdr>
        <w:shd w:fill="F7F4EC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Endpoint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HTTP Method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Authentication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Permission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Path Parameters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Query Parameters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Request DTO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Validation Rules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DTO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HTTP Status Codes</w:t>
      </w:r>
      <w:r>
        <w:rPr>
          <w:rFonts w:ascii="Consolas" w:cs="Consolas" w:eastAsia="Consolas" w:hAnsi="Consolas"/>
          <w:sz w:val="18"/>
          <w:szCs w:val="18"/>
        </w:rPr>
        <w:br/>
        <w:t xml:space="preserve"> ↓</w:t>
      </w:r>
      <w:r>
        <w:rPr>
          <w:rFonts w:ascii="Consolas" w:cs="Consolas" w:eastAsia="Consolas" w:hAnsi="Consolas"/>
          <w:sz w:val="18"/>
          <w:szCs w:val="18"/>
        </w:rPr>
        <w:br/>
        <w:t xml:space="preserve">Error Codes</w:t>
      </w:r>
    </w:p>
    <w:p>
      <w:pPr>
        <w:spacing w:after="160"/>
      </w:pPr>
      <w:r>
        <w:rPr>
          <w:b/>
          <w:bCs/>
        </w:rPr>
        <w:t xml:space="preserve">That should be API Specification v1.1 / Detailed API Contract.</w:t>
      </w:r>
    </w:p>
    <w:p>
      <w:pPr>
        <w:pBdr>
          <w:left w:val="single" w:color="DDA15E" w:sz="12"/>
        </w:pBdr>
        <w:spacing w:after="200" w:before="100"/>
        <w:ind w:left="200"/>
      </w:pPr>
      <w:r>
        <w:rPr>
          <w:i/>
          <w:iCs/>
          <w:color w:val="555555"/>
          <w:sz w:val="20"/>
          <w:szCs w:val="20"/>
        </w:rPr>
        <w:t xml:space="preserve">This document is the resource-contract baseline (what the earlier text calls 'API Specification v1.0'), now versioned 1.1 to reflect the corrections in the Revision History above. The endpoint-by-endpoint detailed contract described here is still a separate, later deliverable — this v1.1 label applies to the baseline only, not to that future detailed-contract document.</w:t>
      </w:r>
    </w:p>
    <w:p>
      <w:pPr>
        <w:spacing w:after="160"/>
      </w:pPr>
      <w:r>
        <w:t xml:space="preserve">For the current project stage, however, this API Specification baseline is enough to establish the backend contract and proceed to the Database Design Specification.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3B18A" w:sz="6"/>
      </w:pBdr>
      <w:spacing w:after="200" w:before="400"/>
    </w:pPr>
    <w:rPr>
      <w:rFonts w:ascii="Calibri" w:cs="Calibri" w:eastAsia="Calibri" w:hAnsi="Calibri"/>
      <w:b/>
      <w:bCs/>
      <w:color w:val="344E4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344E4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2026-08-11T11:44:38.954Z</dcterms:created>
  <dcterms:modified xsi:type="dcterms:W3CDTF">2026-08-11T11:44:38.974Z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