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shd w:val="clear" w:color="auto" w:fill="344E41"/>
            <w:tcMar>
              <w:top w:w="280" w:type="dxa"/>
              <w:left w:w="240" w:type="dxa"/>
              <w:bottom w:w="280" w:type="dxa"/>
              <w:right w:w="240" w:type="dxa"/>
            </w:tcMar>
          </w:tcPr>
          <w:p w:rsidR="00894E21" w:rsidRDefault="003B531A">
            <w:pPr>
              <w:spacing w:after="80"/>
            </w:pPr>
            <w:r>
              <w:rPr>
                <w:rFonts w:ascii="Arial" w:hAnsi="Arial"/>
                <w:b/>
                <w:color w:val="D28A3E"/>
                <w:sz w:val="22"/>
              </w:rPr>
              <w:t>BUSINESS MANAGEMENT SYSTEM (BMS)</w:t>
            </w:r>
          </w:p>
          <w:p w:rsidR="00894E21" w:rsidRDefault="003B531A">
            <w:pPr>
              <w:spacing w:after="240"/>
            </w:pPr>
            <w:r>
              <w:rPr>
                <w:rFonts w:ascii="Arial" w:hAnsi="Arial"/>
                <w:b/>
                <w:color w:val="FFFFFF"/>
                <w:sz w:val="44"/>
              </w:rPr>
              <w:t>Product &amp; Architecture Decision Log</w:t>
            </w:r>
          </w:p>
          <w:p w:rsidR="00894E21" w:rsidRDefault="003B531A">
            <w:pPr>
              <w:spacing w:after="0"/>
            </w:pPr>
            <w:r>
              <w:rPr>
                <w:color w:val="EEEEEE"/>
                <w:sz w:val="19"/>
              </w:rPr>
              <w:t>Version: 1.0    |    Status: Active    |    Date: July 2026</w:t>
            </w:r>
          </w:p>
        </w:tc>
      </w:tr>
    </w:tbl>
    <w:p w:rsidR="00894E21" w:rsidRDefault="00894E21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left w:val="single" w:sz="24" w:space="0" w:color="344E41"/>
            </w:tcBorders>
            <w:shd w:val="clear" w:color="auto" w:fill="F7F4E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94E21" w:rsidRDefault="003B531A">
            <w:pPr>
              <w:spacing w:after="80"/>
            </w:pPr>
            <w:r>
              <w:rPr>
                <w:rFonts w:ascii="Arial" w:hAnsi="Arial"/>
                <w:b/>
                <w:color w:val="344E41"/>
                <w:sz w:val="22"/>
              </w:rPr>
              <w:t>Purpose &amp; Scope</w:t>
            </w:r>
          </w:p>
          <w:p w:rsidR="00894E21" w:rsidRDefault="003B531A">
            <w:pPr>
              <w:spacing w:after="0"/>
            </w:pPr>
            <w:r>
              <w:rPr>
                <w:i/>
                <w:sz w:val="20"/>
              </w:rPr>
              <w:t xml:space="preserve">Record significant product, architecture, workflow, UX, and business decisions that shape the Business </w:t>
            </w:r>
            <w:r>
              <w:rPr>
                <w:i/>
                <w:sz w:val="20"/>
              </w:rPr>
              <w:t>Management System. This document complements the SRS, SDD, IDS, DAS, and other technical documentation by explaining why important decisions were made.</w:t>
            </w:r>
          </w:p>
        </w:tc>
      </w:tr>
    </w:tbl>
    <w:p w:rsidR="00894E21" w:rsidRDefault="00894E21">
      <w:pPr>
        <w:spacing w:after="320"/>
      </w:pPr>
    </w:p>
    <w:p w:rsidR="00894E21" w:rsidRDefault="003B531A">
      <w:pPr>
        <w:keepNext/>
        <w:pBdr>
          <w:bottom w:val="single" w:sz="6" w:space="1" w:color="588157"/>
        </w:pBdr>
        <w:spacing w:before="360" w:after="160"/>
      </w:pPr>
      <w:r>
        <w:rPr>
          <w:rFonts w:ascii="Arial" w:hAnsi="Arial"/>
          <w:b/>
          <w:color w:val="344E41"/>
          <w:sz w:val="28"/>
        </w:rPr>
        <w:t>1. System Foundation &amp;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ADR-001 — </w:t>
            </w:r>
            <w:r>
              <w:rPr>
                <w:rFonts w:ascii="Arial" w:hAnsi="Arial"/>
                <w:b/>
                <w:sz w:val="22"/>
              </w:rPr>
              <w:t>Product Vision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 xml:space="preserve">Develop the BMS as </w:t>
            </w:r>
            <w:r>
              <w:rPr>
                <w:sz w:val="20"/>
              </w:rPr>
              <w:t>a modular, scalable, multi-tenant platform capable of supporting single businesses, multi-branch businesses, and organizations managing multiple businesses without requiring architectural changes as businesses grow.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Businesses evolve over time. </w:t>
            </w:r>
            <w:r>
              <w:rPr>
                <w:sz w:val="20"/>
              </w:rPr>
              <w:t>The platform should scale naturally from a small shop to a large enterprise.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Multi-tenancy required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Flexible organization hierarchy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Workspace-based architecture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ADR-002 — </w:t>
            </w:r>
            <w:r>
              <w:rPr>
                <w:rFonts w:ascii="Arial" w:hAnsi="Arial"/>
                <w:b/>
                <w:sz w:val="22"/>
              </w:rPr>
              <w:t>Business Structure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Support three business stru</w:t>
            </w:r>
            <w:r>
              <w:rPr>
                <w:sz w:val="20"/>
              </w:rPr>
              <w:t>ctures to reflect real-world business ownership models: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Single Business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Single Business with Multiple Branches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Organization containing Multiple Businesses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Reflects real-world business ownership models and organizational growth paths.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  <w:r>
              <w:rPr>
                <w:sz w:val="20"/>
              </w:rPr>
              <w:t>Introduced Organizations, Businesses, and Branches as independent domain entities.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>ADR-021</w:t>
            </w:r>
            <w:r>
              <w:rPr>
                <w:rFonts w:ascii="Arial" w:hAnsi="Arial"/>
                <w:b/>
                <w:color w:val="344E41"/>
                <w:sz w:val="22"/>
              </w:rPr>
              <w:t xml:space="preserve"> — </w:t>
            </w:r>
            <w:r>
              <w:rPr>
                <w:rFonts w:ascii="Arial" w:hAnsi="Arial"/>
                <w:b/>
                <w:sz w:val="22"/>
              </w:rPr>
              <w:t>Domain-Driven Design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Organize the system into independent business domains.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Identity &amp; Access, Organization, Workspace, Membershi</w:t>
            </w:r>
            <w:r>
              <w:rPr>
                <w:sz w:val="19"/>
              </w:rPr>
              <w:t>p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Product Catalog, Inventory, Sales, Payments, Purchasing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Customer Management, Reporting, Notifications, Configuration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Promotes maintainability, scalability, and clear ownership of business logic across teams.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  <w:r>
              <w:rPr>
                <w:sz w:val="20"/>
              </w:rPr>
              <w:t xml:space="preserve">Clear bounded contexts </w:t>
            </w:r>
            <w:r>
              <w:rPr>
                <w:sz w:val="20"/>
              </w:rPr>
              <w:t>across all core system modules.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>ADR-022</w:t>
            </w:r>
            <w:r>
              <w:rPr>
                <w:rFonts w:ascii="Arial" w:hAnsi="Arial"/>
                <w:b/>
                <w:color w:val="344E41"/>
                <w:sz w:val="22"/>
              </w:rPr>
              <w:t xml:space="preserve"> — </w:t>
            </w:r>
            <w:r>
              <w:rPr>
                <w:rFonts w:ascii="Arial" w:hAnsi="Arial"/>
                <w:b/>
                <w:sz w:val="22"/>
              </w:rPr>
              <w:t>Architectural Principles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The platform is guided by six foundational architecture principles: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Identity-first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Business-first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Workspace-centric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Modular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Event-driven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Scalable by </w:t>
            </w:r>
            <w:r>
              <w:rPr>
                <w:sz w:val="19"/>
              </w:rPr>
              <w:t>design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Provide a consistent foundation and architectural integrity for future feature development.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>ADR-024</w:t>
            </w:r>
            <w:r>
              <w:rPr>
                <w:rFonts w:ascii="Arial" w:hAnsi="Arial"/>
                <w:b/>
                <w:color w:val="344E41"/>
                <w:sz w:val="22"/>
              </w:rPr>
              <w:t xml:space="preserve"> — </w:t>
            </w:r>
            <w:r>
              <w:rPr>
                <w:rFonts w:ascii="Arial" w:hAnsi="Arial"/>
                <w:b/>
                <w:sz w:val="22"/>
              </w:rPr>
              <w:t>Documentation Strategy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Separate technical documentation strictly by responsibility.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SRS (Requirements)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SDD </w:t>
            </w:r>
            <w:r>
              <w:rPr>
                <w:sz w:val="19"/>
              </w:rPr>
              <w:t>(System Design)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IDS (Interface Design)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DAS (Architecture)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Database Design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API Specification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User Manual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ADR Log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Each document should have a single responsibility to avoid bloat and maintain clarity.</w:t>
            </w:r>
          </w:p>
        </w:tc>
      </w:tr>
    </w:tbl>
    <w:p w:rsidR="00894E21" w:rsidRDefault="00894E21">
      <w:pPr>
        <w:spacing w:after="120"/>
      </w:pPr>
    </w:p>
    <w:p w:rsidR="00894E21" w:rsidRDefault="003B531A">
      <w:pPr>
        <w:keepNext/>
        <w:pBdr>
          <w:bottom w:val="single" w:sz="6" w:space="1" w:color="588157"/>
        </w:pBdr>
        <w:spacing w:before="360" w:after="160"/>
      </w:pPr>
      <w:r>
        <w:rPr>
          <w:rFonts w:ascii="Arial" w:hAnsi="Arial"/>
          <w:b/>
          <w:color w:val="344E41"/>
          <w:sz w:val="28"/>
        </w:rPr>
        <w:lastRenderedPageBreak/>
        <w:t>2. Identity, Access &amp; Security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ADR-003 — </w:t>
            </w:r>
            <w:r>
              <w:rPr>
                <w:rFonts w:ascii="Arial" w:hAnsi="Arial"/>
                <w:b/>
                <w:sz w:val="22"/>
              </w:rPr>
              <w:t>Identity Architecture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Every person owns exactly one Identity. Identity grants access through Memberships.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Workflow: </w:t>
            </w:r>
          </w:p>
          <w:p w:rsidR="00894E21" w:rsidRDefault="003B531A">
            <w:pPr>
              <w:spacing w:after="80"/>
              <w:ind w:left="288"/>
            </w:pPr>
            <w:r>
              <w:rPr>
                <w:rFonts w:ascii="Consolas" w:hAnsi="Consolas"/>
                <w:sz w:val="19"/>
              </w:rPr>
              <w:t>Identity  ➔  Membership  ➔  Organization  ➔  Business  ➔  Branch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Users should never create </w:t>
            </w:r>
            <w:r>
              <w:rPr>
                <w:sz w:val="20"/>
              </w:rPr>
              <w:t>multiple accounts simply because they work for or interact with multiple organizations.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Simplified authentication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Simplified account recovery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588157"/>
              </w:rPr>
              <w:t xml:space="preserve">• </w:t>
            </w:r>
            <w:r>
              <w:rPr>
                <w:sz w:val="19"/>
              </w:rPr>
              <w:t>Cleaner RBAC implementation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ADR-004 — </w:t>
            </w:r>
            <w:r>
              <w:rPr>
                <w:rFonts w:ascii="Arial" w:hAnsi="Arial"/>
                <w:b/>
                <w:sz w:val="22"/>
              </w:rPr>
              <w:t>Authentication Strategy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Authentication methods belong strictly to Identity.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Current Methods: Email &amp; Password, Google Sign-In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Future Methods: Microsoft, Passkeys, Authenticator Apps (TOTP)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Authentication mechanisms should be extensible without modifying downstream </w:t>
            </w:r>
            <w:r>
              <w:rPr>
                <w:sz w:val="20"/>
              </w:rPr>
              <w:t>authorization logic.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ADR-005 — </w:t>
            </w:r>
            <w:r>
              <w:rPr>
                <w:rFonts w:ascii="Arial" w:hAnsi="Arial"/>
                <w:b/>
                <w:sz w:val="22"/>
              </w:rPr>
              <w:t>Account Recovery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Implement a resilient multi-tier recovery strategy.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Google Account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Phone OTP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Recovery Codes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Administrator Recovery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Balance operational continuity with security. </w:t>
            </w:r>
            <w:r>
              <w:rPr>
                <w:sz w:val="20"/>
              </w:rPr>
              <w:t>Cashiers and operational staff must return to work quickly during lockouts.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ADR-006 — </w:t>
            </w:r>
            <w:r>
              <w:rPr>
                <w:rFonts w:ascii="Arial" w:hAnsi="Arial"/>
                <w:b/>
                <w:sz w:val="22"/>
              </w:rPr>
              <w:t>Workspace Architecture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Authentication is decoupled from business context.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Workflow: </w:t>
            </w:r>
          </w:p>
          <w:p w:rsidR="00894E21" w:rsidRDefault="003B531A">
            <w:pPr>
              <w:spacing w:after="80"/>
              <w:ind w:left="288"/>
            </w:pPr>
            <w:r>
              <w:rPr>
                <w:rFonts w:ascii="Consolas" w:hAnsi="Consolas"/>
                <w:sz w:val="19"/>
              </w:rPr>
              <w:t>Login  ➔  Resolve Memberships  ➔  Workspace  ➔  Dashboard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(Workspace determines: Organization, Business, Branch, Role, Permissions)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Allows users to work across multiple organizations and branches seamlessly without repeated logins.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ADR-007 — </w:t>
            </w:r>
            <w:r>
              <w:rPr>
                <w:rFonts w:ascii="Arial" w:hAnsi="Arial"/>
                <w:b/>
                <w:sz w:val="22"/>
              </w:rPr>
              <w:t>Authorization Model (RBAC)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Permission</w:t>
            </w:r>
            <w:r>
              <w:rPr>
                <w:sz w:val="20"/>
              </w:rPr>
              <w:t>s are dynamically resolved from the active Workspace context.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Organization Owner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Business Owner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Manager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Cashier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Inventory Officer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Procurement Officer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Authorization should depend strictly on active context rather than static user </w:t>
            </w:r>
            <w:r>
              <w:rPr>
                <w:sz w:val="20"/>
              </w:rPr>
              <w:t>identity.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ADR-023 — </w:t>
            </w:r>
            <w:r>
              <w:rPr>
                <w:rFonts w:ascii="Arial" w:hAnsi="Arial"/>
                <w:b/>
                <w:sz w:val="22"/>
              </w:rPr>
              <w:t>Security Principles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Adopt strict enterprise security guidelines across all system layers.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Identity separate from authorization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Least-privilege access model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Comprehensive audit logging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Authentication </w:t>
            </w:r>
            <w:r>
              <w:rPr>
                <w:sz w:val="19"/>
              </w:rPr>
              <w:t>methods linked to identities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Secure but efficient recovery workflows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Protect sensitive financial and business operations while minimizing operational friction.</w:t>
            </w:r>
          </w:p>
        </w:tc>
      </w:tr>
    </w:tbl>
    <w:p w:rsidR="00894E21" w:rsidRDefault="00894E21">
      <w:pPr>
        <w:spacing w:after="120"/>
      </w:pPr>
    </w:p>
    <w:p w:rsidR="00894E21" w:rsidRDefault="003B531A">
      <w:pPr>
        <w:keepNext/>
        <w:pBdr>
          <w:bottom w:val="single" w:sz="6" w:space="1" w:color="588157"/>
        </w:pBdr>
        <w:spacing w:before="360" w:after="160"/>
      </w:pPr>
      <w:r>
        <w:rPr>
          <w:rFonts w:ascii="Arial" w:hAnsi="Arial"/>
          <w:b/>
          <w:color w:val="344E41"/>
          <w:sz w:val="28"/>
        </w:rPr>
        <w:t>3. Workflows, POS &amp; Operational UX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ADR-008 — </w:t>
            </w:r>
            <w:r>
              <w:rPr>
                <w:rFonts w:ascii="Arial" w:hAnsi="Arial"/>
                <w:b/>
                <w:sz w:val="22"/>
              </w:rPr>
              <w:t>Modular Platform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Businesses enable only required functional modules based on operational needs.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POS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Inventory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CRM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Purchasing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HR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Accounting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Reports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Avoid overwhelming small businesses with unnecessary or complex functionality.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  <w:r>
              <w:rPr>
                <w:sz w:val="20"/>
              </w:rPr>
              <w:t>Navigation and features are dynamically generated based on active modules.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ADR-009 — </w:t>
            </w:r>
            <w:r>
              <w:rPr>
                <w:rFonts w:ascii="Arial" w:hAnsi="Arial"/>
                <w:b/>
                <w:sz w:val="22"/>
              </w:rPr>
              <w:t>POS Philosophy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The POS interface is the primary cashier workspace dashboard; no separate dashboard exists.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Workflow: </w:t>
            </w:r>
          </w:p>
          <w:p w:rsidR="00894E21" w:rsidRDefault="003B531A">
            <w:pPr>
              <w:spacing w:after="80"/>
              <w:ind w:left="288"/>
            </w:pPr>
            <w:r>
              <w:rPr>
                <w:rFonts w:ascii="Consolas" w:hAnsi="Consolas"/>
                <w:sz w:val="19"/>
              </w:rPr>
              <w:t>Search Product  ➔  Add to Car</w:t>
            </w:r>
            <w:r>
              <w:rPr>
                <w:rFonts w:ascii="Consolas" w:hAnsi="Consolas"/>
                <w:sz w:val="19"/>
              </w:rPr>
              <w:t>t  ➔  Process Payment  ➔  Next Sale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Reduce navigation overhead and maximize transaction processing speed in high-volume settings.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ADR-010 — </w:t>
            </w:r>
            <w:r>
              <w:rPr>
                <w:rFonts w:ascii="Arial" w:hAnsi="Arial"/>
                <w:b/>
                <w:sz w:val="22"/>
              </w:rPr>
              <w:t>Shopping Cart Behaviour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 xml:space="preserve">Implement highly optimized shopping cart rules tailored </w:t>
            </w:r>
            <w:r>
              <w:rPr>
                <w:sz w:val="20"/>
              </w:rPr>
              <w:t>for checkout efficiency: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Recently added items appear at the top of the cart.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Existing items increment quantity upon re-scan.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Quantities can be typed directly for fast editing.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Separate search controls for catalog products vs. active cart items.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Cart remains fully editable during payment processing.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Optimize speed and reduce physical input strain for high-volume retail operations.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ADR-011 — </w:t>
            </w:r>
            <w:r>
              <w:rPr>
                <w:rFonts w:ascii="Arial" w:hAnsi="Arial"/>
                <w:b/>
                <w:sz w:val="22"/>
              </w:rPr>
              <w:t>Payment Workflow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Support flexible payment options with immediate auto-res</w:t>
            </w:r>
            <w:r>
              <w:rPr>
                <w:sz w:val="20"/>
              </w:rPr>
              <w:t>et upon completion.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Supported: Cash, M-Pesa STK Push, M-Pesa Till, Card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Future Expansion: Split Payments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Cashiers should immediately begin serving the next customer without manual clearing steps.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ADR-012 — </w:t>
            </w:r>
            <w:r>
              <w:rPr>
                <w:rFonts w:ascii="Arial" w:hAnsi="Arial"/>
                <w:b/>
                <w:sz w:val="22"/>
              </w:rPr>
              <w:t>Discount Management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Discounts are pre-configured by managers. Cashiers cannot create or modify discounts during checkout.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Improves pricing consistency, prevents cash-register fraud/security issues, and accelerates checkout.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  <w:r>
              <w:rPr>
                <w:sz w:val="20"/>
              </w:rPr>
              <w:t>Enforces strict manager</w:t>
            </w:r>
            <w:r>
              <w:rPr>
                <w:sz w:val="20"/>
              </w:rPr>
              <w:t>ial control over pricing policies.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ADR-013 — </w:t>
            </w:r>
            <w:r>
              <w:rPr>
                <w:rFonts w:ascii="Arial" w:hAnsi="Arial"/>
                <w:b/>
                <w:sz w:val="22"/>
              </w:rPr>
              <w:t>Tax Presentation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Apply progressive disclosure to tax details during customer interactions.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POS Display during sale: Items Total, Amount Due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Receipt Display post-sale: Subtotal, VAT </w:t>
            </w:r>
            <w:r>
              <w:rPr>
                <w:sz w:val="19"/>
              </w:rPr>
              <w:t>breakdown, Final Total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Reduce visual clutter during rapid checkout while providing complete tax transparency on official printouts.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ADR-027 — </w:t>
            </w:r>
            <w:r>
              <w:rPr>
                <w:rFonts w:ascii="Arial" w:hAnsi="Arial"/>
                <w:b/>
                <w:sz w:val="22"/>
              </w:rPr>
              <w:t>Inventory Visibility in POS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Cashiers are intentionally not shown internal stock</w:t>
            </w:r>
            <w:r>
              <w:rPr>
                <w:sz w:val="20"/>
              </w:rPr>
              <w:t xml:space="preserve"> metrics.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Hidden from Cashier: Exact Stock Quantities, Low-Stock Alerts, Reorder Levels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Restrict sensitive operational metrics to inventory roles and remove checkout distractions. Only basic availability needed to complete a sale is exposed.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ADR-028 — </w:t>
            </w:r>
            <w:r>
              <w:rPr>
                <w:rFonts w:ascii="Arial" w:hAnsi="Arial"/>
                <w:b/>
                <w:sz w:val="22"/>
              </w:rPr>
              <w:t>Held Sales Workflow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Held Sales is designed as a complete, multi-state operational workflow.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Dedicated States: No Held Sales, Single Held Sale, Multiple Held Sales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Holding a sale immediately prompts option to start a new</w:t>
            </w:r>
            <w:r>
              <w:rPr>
                <w:sz w:val="19"/>
              </w:rPr>
              <w:t xml:space="preserve"> sale or resume a held sale.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Support real-world retail interruptions without disrupting active queues or losing cart state.</w:t>
            </w:r>
          </w:p>
        </w:tc>
      </w:tr>
    </w:tbl>
    <w:p w:rsidR="00894E21" w:rsidRDefault="00894E21">
      <w:pPr>
        <w:spacing w:after="120"/>
      </w:pPr>
    </w:p>
    <w:p w:rsidR="00894E21" w:rsidRDefault="003B531A">
      <w:pPr>
        <w:keepNext/>
        <w:pBdr>
          <w:bottom w:val="single" w:sz="6" w:space="1" w:color="588157"/>
        </w:pBdr>
        <w:spacing w:before="360" w:after="160"/>
      </w:pPr>
      <w:r>
        <w:rPr>
          <w:rFonts w:ascii="Arial" w:hAnsi="Arial"/>
          <w:b/>
          <w:color w:val="344E41"/>
          <w:sz w:val="28"/>
        </w:rPr>
        <w:t>4. Dashboards, Navigation &amp;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ADR-014 — </w:t>
            </w:r>
            <w:r>
              <w:rPr>
                <w:rFonts w:ascii="Arial" w:hAnsi="Arial"/>
                <w:b/>
                <w:sz w:val="22"/>
              </w:rPr>
              <w:t>Dashboard Strategy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 xml:space="preserve">Dashboards are contextually </w:t>
            </w:r>
            <w:r>
              <w:rPr>
                <w:sz w:val="20"/>
              </w:rPr>
              <w:t>tailored per role.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Cashier: Dedicated POS Workspace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Manager: Operations &amp; Inventory Dashboard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Owner: Executive Health &amp; Financial Dashboard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Different operational roles require distinct metrics and workflows to operate effectively.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>ADR-02</w:t>
            </w:r>
            <w:r>
              <w:rPr>
                <w:rFonts w:ascii="Arial" w:hAnsi="Arial"/>
                <w:b/>
                <w:color w:val="344E41"/>
                <w:sz w:val="22"/>
              </w:rPr>
              <w:t xml:space="preserve">9 — </w:t>
            </w:r>
            <w:r>
              <w:rPr>
                <w:rFonts w:ascii="Arial" w:hAnsi="Arial"/>
                <w:b/>
                <w:sz w:val="22"/>
              </w:rPr>
              <w:t>Owner and Manager Dashboard Philosophy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Owner dashboards focus on strategic executive oversight; Manager dashboards focus on immediate daily operations.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Owner Dashboard: Business Health, Financial Performance, Strategic Insights,</w:t>
            </w:r>
            <w:r>
              <w:rPr>
                <w:sz w:val="19"/>
              </w:rPr>
              <w:t xml:space="preserve"> Decision Support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Manager Dashboard: Inventory Status, Deliveries, Operational Alerts, Store Performance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Ensure each managerial layer receives targeted actionable data rather than uniform raw reports.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ADR-026 — </w:t>
            </w:r>
            <w:r>
              <w:rPr>
                <w:rFonts w:ascii="Arial" w:hAnsi="Arial"/>
                <w:b/>
                <w:sz w:val="22"/>
              </w:rPr>
              <w:t>Branch Context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>Dec</w:t>
            </w:r>
            <w:r>
              <w:rPr>
                <w:b/>
                <w:color w:val="344E41"/>
                <w:sz w:val="20"/>
              </w:rPr>
              <w:t xml:space="preserve">ision: </w:t>
            </w:r>
            <w:r>
              <w:rPr>
                <w:sz w:val="20"/>
              </w:rPr>
              <w:t>The selected branch is a live state variable of the active workspace context.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Provide an immediate, responsive user experience without cumbersome page reloads.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Impact: </w:t>
            </w:r>
            <w:r>
              <w:rPr>
                <w:sz w:val="20"/>
              </w:rPr>
              <w:t>Changing active branch instantly updates Dashboards, KPIs, Reports, In</w:t>
            </w:r>
            <w:r>
              <w:rPr>
                <w:sz w:val="20"/>
              </w:rPr>
              <w:t>ventory, and Analytics without requiring an 'Apply' click.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ADR-015 — </w:t>
            </w:r>
            <w:r>
              <w:rPr>
                <w:rFonts w:ascii="Arial" w:hAnsi="Arial"/>
                <w:b/>
                <w:sz w:val="22"/>
              </w:rPr>
              <w:t>Search Philosophy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Search behavior is contextually scoped across the platform.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Products Module ➔  </w:t>
            </w:r>
            <w:r>
              <w:rPr>
                <w:sz w:val="19"/>
              </w:rPr>
              <w:t>Search Products Catalog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Customers Module ➔  </w:t>
            </w:r>
            <w:r>
              <w:rPr>
                <w:sz w:val="19"/>
              </w:rPr>
              <w:t xml:space="preserve">Search Customer </w:t>
            </w:r>
            <w:r>
              <w:rPr>
                <w:sz w:val="19"/>
              </w:rPr>
              <w:t>Records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Suppliers Module ➔  </w:t>
            </w:r>
            <w:r>
              <w:rPr>
                <w:sz w:val="19"/>
              </w:rPr>
              <w:t>Search Supplier Directory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Global Navigation / Dashboard ➔  </w:t>
            </w:r>
            <w:r>
              <w:rPr>
                <w:sz w:val="19"/>
              </w:rPr>
              <w:t>Command Palette (Ctrl + K)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Avoid a single overloaded global search component that returns confusing mixed domain results.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ADR-016 — </w:t>
            </w:r>
            <w:r>
              <w:rPr>
                <w:rFonts w:ascii="Arial" w:hAnsi="Arial"/>
                <w:b/>
                <w:sz w:val="22"/>
              </w:rPr>
              <w:t>Navigation Strategy</w:t>
            </w:r>
            <w:r>
              <w:rPr>
                <w:b/>
                <w:color w:val="588157"/>
                <w:sz w:val="18"/>
              </w:rPr>
              <w:t xml:space="preserve">  [</w:t>
            </w:r>
            <w:r>
              <w:rPr>
                <w:b/>
                <w:color w:val="588157"/>
                <w:sz w:val="18"/>
              </w:rPr>
              <w:t>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Navigation structures are dynamically synthesized from contextual permissions.</w:t>
            </w:r>
          </w:p>
          <w:p w:rsidR="00894E21" w:rsidRDefault="003B531A">
            <w:pPr>
              <w:spacing w:before="80" w:after="40"/>
            </w:pPr>
            <w:r>
              <w:rPr>
                <w:b/>
                <w:color w:val="344E41"/>
                <w:sz w:val="20"/>
              </w:rPr>
              <w:t xml:space="preserve">Workflow: </w:t>
            </w:r>
          </w:p>
          <w:p w:rsidR="00894E21" w:rsidRDefault="003B531A">
            <w:pPr>
              <w:spacing w:after="80"/>
              <w:ind w:left="288"/>
            </w:pPr>
            <w:r>
              <w:rPr>
                <w:rFonts w:ascii="Consolas" w:hAnsi="Consolas"/>
                <w:sz w:val="19"/>
              </w:rPr>
              <w:t>Role  ➔  Enabled Modules  ➔  Workspace  ➔  Dynamic Navigation Menu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Users should only see menu items and features they have explicit </w:t>
            </w:r>
            <w:r>
              <w:rPr>
                <w:sz w:val="20"/>
              </w:rPr>
              <w:t>permission to access.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ADR-017 — </w:t>
            </w:r>
            <w:r>
              <w:rPr>
                <w:rFonts w:ascii="Arial" w:hAnsi="Arial"/>
                <w:b/>
                <w:sz w:val="22"/>
              </w:rPr>
              <w:t>Business Settings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Business Settings handle administrative and system configuration only.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Includes: Branding, Taxes, Receipts, Branches, Hardware, Integrations, Billing, Security, Backups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Excludes:</w:t>
            </w:r>
            <w:r>
              <w:rPr>
                <w:sz w:val="19"/>
              </w:rPr>
              <w:t xml:space="preserve"> Operational entities like Products, Suppliers, or System Users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Separate core environment setup from day-to-day operational entity management.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ADR-018 — </w:t>
            </w:r>
            <w:r>
              <w:rPr>
                <w:rFonts w:ascii="Arial" w:hAnsi="Arial"/>
                <w:b/>
                <w:sz w:val="22"/>
              </w:rPr>
              <w:t>User Profile Scope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 xml:space="preserve">User Profile manages personal user account </w:t>
            </w:r>
            <w:r>
              <w:rPr>
                <w:sz w:val="20"/>
              </w:rPr>
              <w:t>settings exclusively.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Personal Information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Security &amp; Passwords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Active Sessions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Notifications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Activity Log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Preferences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Organizational settings belong in administration modules, keeping user accounts clean and portable.</w:t>
            </w:r>
          </w:p>
        </w:tc>
      </w:tr>
    </w:tbl>
    <w:p w:rsidR="00894E21" w:rsidRDefault="00894E21">
      <w:pPr>
        <w:spacing w:after="120"/>
      </w:pPr>
    </w:p>
    <w:p w:rsidR="00894E21" w:rsidRDefault="003B531A">
      <w:pPr>
        <w:keepNext/>
        <w:pBdr>
          <w:bottom w:val="single" w:sz="6" w:space="1" w:color="588157"/>
        </w:pBdr>
        <w:spacing w:before="360" w:after="160"/>
      </w:pPr>
      <w:r>
        <w:rPr>
          <w:rFonts w:ascii="Arial" w:hAnsi="Arial"/>
          <w:b/>
          <w:color w:val="344E41"/>
          <w:sz w:val="28"/>
        </w:rPr>
        <w:t>5. UX &amp; Desi</w:t>
      </w:r>
      <w:r>
        <w:rPr>
          <w:rFonts w:ascii="Arial" w:hAnsi="Arial"/>
          <w:b/>
          <w:color w:val="344E41"/>
          <w:sz w:val="28"/>
        </w:rPr>
        <w:t>gn System Principles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ADR-020 — </w:t>
            </w:r>
            <w:r>
              <w:rPr>
                <w:rFonts w:ascii="Arial" w:hAnsi="Arial"/>
                <w:b/>
                <w:sz w:val="22"/>
              </w:rPr>
              <w:t>Design System</w:t>
            </w:r>
            <w:r>
              <w:rPr>
                <w:b/>
                <w:color w:val="588157"/>
                <w:sz w:val="18"/>
              </w:rPr>
              <w:t xml:space="preserve">  [PROPOSED</w:t>
            </w:r>
            <w:bookmarkStart w:id="0" w:name="_GoBack"/>
            <w:bookmarkEnd w:id="0"/>
            <w:r>
              <w:rPr>
                <w:b/>
                <w:color w:val="588157"/>
                <w:sz w:val="18"/>
              </w:rPr>
              <w:t>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Adopt a standardized, cohesive enterprise design language across all modules.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Primary Theme Color: #344E41 (Deep Forest Green)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Secondary Color: #A3B18A / #588157 (Sage)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Accent Color: </w:t>
            </w:r>
            <w:r>
              <w:rPr>
                <w:sz w:val="19"/>
              </w:rPr>
              <w:t>#DDA15E (Warm Ochre / Gold)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Background Color: #F7F4EC (Soft Warm Off-white)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Typography: Inter Font Family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Container Borders: 12px Rounded Corners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Provide a consistent, calm visual identity that reduces eye strain during long working shifts</w:t>
            </w:r>
            <w:r>
              <w:rPr>
                <w:sz w:val="20"/>
              </w:rPr>
              <w:t>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t xml:space="preserve">ADR-025 — </w:t>
            </w:r>
            <w:r>
              <w:rPr>
                <w:rFonts w:ascii="Arial" w:hAnsi="Arial"/>
                <w:b/>
                <w:sz w:val="22"/>
              </w:rPr>
              <w:t>Product Design Philosophy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>System UX design strictly prioritizes six core usability pillars: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1. Operational Efficiency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2. Visual &amp; Conceptual Clarity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3. Progressive Disclosure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4. Contextual Actions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 xml:space="preserve">5. </w:t>
            </w:r>
            <w:r>
              <w:rPr>
                <w:sz w:val="19"/>
              </w:rPr>
              <w:t>Recognition over Recall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6. Strict System-wide Consistency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>Optimize for high-frequency business operations where speed, clarity, and error reduction are critical.</w:t>
            </w:r>
          </w:p>
        </w:tc>
      </w:tr>
    </w:tbl>
    <w:p w:rsidR="00894E21" w:rsidRDefault="00894E2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94E21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8" w:space="0" w:color="344E41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4E21" w:rsidRDefault="003B531A">
            <w:pPr>
              <w:keepNext/>
              <w:spacing w:after="120"/>
            </w:pPr>
            <w:r>
              <w:rPr>
                <w:rFonts w:ascii="Arial" w:hAnsi="Arial"/>
                <w:b/>
                <w:color w:val="344E41"/>
                <w:sz w:val="22"/>
              </w:rPr>
              <w:lastRenderedPageBreak/>
              <w:t xml:space="preserve">ADR-019 — </w:t>
            </w:r>
            <w:r>
              <w:rPr>
                <w:rFonts w:ascii="Arial" w:hAnsi="Arial"/>
                <w:b/>
                <w:sz w:val="22"/>
              </w:rPr>
              <w:t>Supporting Interfaces</w:t>
            </w:r>
            <w:r>
              <w:rPr>
                <w:b/>
                <w:color w:val="588157"/>
                <w:sz w:val="18"/>
              </w:rPr>
              <w:t xml:space="preserve">  [ACCEPTED]</w:t>
            </w:r>
          </w:p>
          <w:p w:rsidR="00894E21" w:rsidRDefault="003B531A">
            <w:pPr>
              <w:spacing w:after="80"/>
            </w:pPr>
            <w:r>
              <w:rPr>
                <w:b/>
                <w:color w:val="344E41"/>
                <w:sz w:val="20"/>
              </w:rPr>
              <w:t xml:space="preserve">Decision: </w:t>
            </w:r>
            <w:r>
              <w:rPr>
                <w:sz w:val="20"/>
              </w:rPr>
              <w:t xml:space="preserve">Treat non-happy path and </w:t>
            </w:r>
            <w:r>
              <w:rPr>
                <w:sz w:val="20"/>
              </w:rPr>
              <w:t>supporting system states as first-class user interfaces.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403 Forbidden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404 Not Found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500 Server Error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Empty States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Offline / Sync States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Loading States</w:t>
            </w:r>
          </w:p>
          <w:p w:rsidR="00894E21" w:rsidRDefault="003B531A">
            <w:pPr>
              <w:spacing w:after="40"/>
              <w:ind w:left="288"/>
            </w:pPr>
            <w:r>
              <w:rPr>
                <w:b/>
                <w:color w:val="344E41"/>
              </w:rPr>
              <w:t xml:space="preserve">• </w:t>
            </w:r>
            <w:r>
              <w:rPr>
                <w:sz w:val="19"/>
              </w:rPr>
              <w:t>Confirmation Dialogs</w:t>
            </w:r>
          </w:p>
          <w:p w:rsidR="00894E21" w:rsidRDefault="003B531A">
            <w:pPr>
              <w:spacing w:before="80" w:after="80"/>
            </w:pPr>
            <w:r>
              <w:rPr>
                <w:b/>
                <w:color w:val="344E41"/>
                <w:sz w:val="20"/>
              </w:rPr>
              <w:t xml:space="preserve">Rationale: </w:t>
            </w:r>
            <w:r>
              <w:rPr>
                <w:sz w:val="20"/>
              </w:rPr>
              <w:t xml:space="preserve">Consistent handling of edge cases builds user trust and </w:t>
            </w:r>
            <w:r>
              <w:rPr>
                <w:sz w:val="20"/>
              </w:rPr>
              <w:t>reduces support inquiries.</w:t>
            </w:r>
          </w:p>
        </w:tc>
      </w:tr>
    </w:tbl>
    <w:p w:rsidR="00894E21" w:rsidRDefault="00894E21">
      <w:pPr>
        <w:spacing w:after="120"/>
      </w:pPr>
    </w:p>
    <w:sectPr w:rsidR="00894E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31A"/>
    <w:rsid w:val="00894E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57ABA9-BA44-46FF-9960-928C16EB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E752B6-7811-48E2-9786-FAE156DF7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2026-07-22T09:21:00Z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a13543f3-86c6-4330-8e83-8d4f393082cd</vt:lpwstr>
  </property>
</Properties>
</file>