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2B43" w14:textId="3DE16255" w:rsidR="00506E7A" w:rsidRPr="002E5B48" w:rsidRDefault="00506E7A" w:rsidP="00506E7A">
      <w:pPr>
        <w:pStyle w:val="Ttulo1"/>
        <w:rPr>
          <w:lang w:val="es-CL"/>
        </w:rPr>
      </w:pPr>
      <w:bookmarkStart w:id="0" w:name="prensando-la-panceta"/>
      <w:r w:rsidRPr="002E5B48">
        <w:rPr>
          <w:lang w:val="es-CL"/>
        </w:rPr>
        <w:t>Resumen ejecutivo de proyectos de innovación 2024</w:t>
      </w:r>
    </w:p>
    <w:p w14:paraId="78046EAA" w14:textId="77777777" w:rsidR="00506E7A" w:rsidRPr="002E5B48" w:rsidRDefault="00506E7A">
      <w:pPr>
        <w:pStyle w:val="Ttulo1"/>
        <w:rPr>
          <w:lang w:val="es-CL"/>
        </w:rPr>
      </w:pPr>
    </w:p>
    <w:p w14:paraId="2993C5C3" w14:textId="0AAF094C" w:rsidR="001B29E2" w:rsidRPr="002E5B48" w:rsidRDefault="001D3FBF">
      <w:pPr>
        <w:pStyle w:val="Ttulo1"/>
        <w:rPr>
          <w:lang w:val="es-CL"/>
        </w:rPr>
      </w:pPr>
      <w:r w:rsidRPr="002E5B48">
        <w:rPr>
          <w:lang w:val="es-CL"/>
        </w:rPr>
        <w:t>Prensando la Panceta</w:t>
      </w:r>
    </w:p>
    <w:p w14:paraId="2993C5C4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Pérdida de ~600 g por pieza al cortar para cumplir medidas; parte del producto se va a menor margen. - Oportunidad de capturar mayor peso sin cambiar dimensiones y reducir reclamos.</w:t>
      </w:r>
    </w:p>
    <w:p w14:paraId="2993C5C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Molde y proceso de prensado validados con proveedor y visita a equipo en operación.</w:t>
      </w:r>
    </w:p>
    <w:p w14:paraId="2993C5C6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Inversión: 2 túneles de frío lineal, 2 líneas de prensado y montaje. - Espacio: se reutiliza el actual de la línea de pancetas. - Congelado: sistema propio, sin afectar capacidad de planta. - Energía: consumo estable dentro de lo aceptable. - Personas: capacitación de maquinistas y mantenedores; no requiere aumentar dotación.</w:t>
      </w:r>
    </w:p>
    <w:p w14:paraId="2993C5C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Menos embalajes por tonelada, menor uso de plástico y cartón, y menor gestión de residuos. - Para el cliente: 0% merma al recibir y más kilos al laminar.</w:t>
      </w:r>
    </w:p>
    <w:p w14:paraId="2993C5C8" w14:textId="77777777" w:rsidR="001B29E2" w:rsidRDefault="00000000">
      <w:r>
        <w:pict w14:anchorId="2993C75D">
          <v:rect id="_x0000_i1025" style="width:0;height:1.5pt" o:hralign="center" o:hrstd="t" o:hr="t"/>
        </w:pict>
      </w:r>
    </w:p>
    <w:p w14:paraId="2993C5C9" w14:textId="77777777" w:rsidR="001B29E2" w:rsidRPr="002E5B48" w:rsidRDefault="001D3FBF">
      <w:pPr>
        <w:pStyle w:val="Ttulo1"/>
        <w:rPr>
          <w:lang w:val="es-CL"/>
        </w:rPr>
      </w:pPr>
      <w:bookmarkStart w:id="1" w:name="mi-camino-a-la-eficiencia"/>
      <w:bookmarkEnd w:id="0"/>
      <w:r w:rsidRPr="002E5B48">
        <w:rPr>
          <w:lang w:val="es-CL"/>
        </w:rPr>
        <w:t>Mi camino a la eficiencia</w:t>
      </w:r>
    </w:p>
    <w:p w14:paraId="2993C5CA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~50% de pabellones con desnivel; competencia por espacio/agua/alimento genera desuniformidad y afecta peso y conversión. - Necesidad de transitar más rápido sin estresar las aves.</w:t>
      </w:r>
    </w:p>
    <w:p w14:paraId="2993C5C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Fase 1: 6 espacios de crianza con cercas livianas y lavables. - Fase 2: pasillo provisorio hasta los 30–35 días para ahorrar tiempo de trayecto.</w:t>
      </w:r>
    </w:p>
    <w:p w14:paraId="2993C5CC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Conversión de alimento y peso a faena como KPIs. - Armado/montaje con medidas precisas; no interviene infraestructura. - Planificación de la crianza y estandarización de alargues. - Cercas: ensamblaje rápido, flexibles para asignar espacios según tipo de pollo.</w:t>
      </w:r>
    </w:p>
    <w:p w14:paraId="2993C5C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Aumento de pesos y disminución de conversión. - Menor gasto energético y desplazamientos más eficientes en ciertas actividades.</w:t>
      </w:r>
    </w:p>
    <w:p w14:paraId="2993C5CE" w14:textId="77777777" w:rsidR="001B29E2" w:rsidRDefault="00000000">
      <w:r>
        <w:lastRenderedPageBreak/>
        <w:pict w14:anchorId="2993C75E">
          <v:rect id="_x0000_i1026" style="width:0;height:1.5pt" o:hralign="center" o:hrstd="t" o:hr="t"/>
        </w:pict>
      </w:r>
    </w:p>
    <w:p w14:paraId="2993C5CF" w14:textId="77777777" w:rsidR="001B29E2" w:rsidRPr="002E5B48" w:rsidRDefault="001D3FBF">
      <w:pPr>
        <w:pStyle w:val="Ttulo1"/>
        <w:rPr>
          <w:lang w:val="es-CL"/>
        </w:rPr>
      </w:pPr>
      <w:bookmarkStart w:id="2" w:name="super-pouch"/>
      <w:bookmarkEnd w:id="1"/>
      <w:r w:rsidRPr="002E5B48">
        <w:rPr>
          <w:lang w:val="es-CL"/>
        </w:rPr>
        <w:t>Super Pouch</w:t>
      </w:r>
    </w:p>
    <w:p w14:paraId="2993C5D0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Vitrinas refrigeradas/congeladas colapsadas y mayor canibalización de lanzamientos. - Tendencia a productos facilitadores y oportunidad en categorías sin cadena de frío (retail y conveniencia).</w:t>
      </w:r>
    </w:p>
    <w:p w14:paraId="2993C5D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Proteínas en pouch: sin refrigeración, vida útil 3–8 años, porción 150 g, listo para consumir/preparar, empaque de marca.</w:t>
      </w:r>
    </w:p>
    <w:p w14:paraId="2993C5D2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Margen esperado 8% en lanzamientos. - Sostenibilidad de costos con proyecciones y avisos de cambio con 6 meses. - Volúmenes por material para evitar desbalances de mix. - Maquila Daff con experiencia previa y auditorías. - Vida útil larga que minimiza mermas; ejecución en góndola y categoría.</w:t>
      </w:r>
    </w:p>
    <w:p w14:paraId="2993C5D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Nuevas vitrinas y ocasiones de consumo sin cadena de frío. - Practicidad para el cliente y menor merma por porciones unitarias.</w:t>
      </w:r>
    </w:p>
    <w:p w14:paraId="2993C5D4" w14:textId="77777777" w:rsidR="001B29E2" w:rsidRDefault="00000000">
      <w:r>
        <w:pict w14:anchorId="2993C75F">
          <v:rect id="_x0000_i1027" style="width:0;height:1.5pt" o:hralign="center" o:hrstd="t" o:hr="t"/>
        </w:pict>
      </w:r>
    </w:p>
    <w:p w14:paraId="2993C5D5" w14:textId="77777777" w:rsidR="001B29E2" w:rsidRPr="002E5B48" w:rsidRDefault="001D3FBF">
      <w:pPr>
        <w:pStyle w:val="Ttulo1"/>
        <w:rPr>
          <w:lang w:val="es-CL"/>
        </w:rPr>
      </w:pPr>
      <w:bookmarkStart w:id="3" w:name="vamos-al-grano"/>
      <w:bookmarkEnd w:id="2"/>
      <w:r w:rsidRPr="002E5B48">
        <w:rPr>
          <w:lang w:val="es-CL"/>
        </w:rPr>
        <w:t>¡Vamos al grano!</w:t>
      </w:r>
    </w:p>
    <w:p w14:paraId="2993C5D6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Merma de materias primas de alimento elevada y rol estratégico de costos.</w:t>
      </w:r>
    </w:p>
    <w:p w14:paraId="2993C5D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Sumarse a torres de control; digitalizar paneles; balances de masas en ítems críticos; corrección de cubicaje; información en línea para las unidades.</w:t>
      </w:r>
    </w:p>
    <w:p w14:paraId="2993C5D8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Costo de implementación aprox. USD 1.200 (soporte BD/nube/ingesta). - Gobernanza de datos y ciberseguridad; información disponible. - Cultura de gestión de mermas y mejora continua.</w:t>
      </w:r>
    </w:p>
    <w:p w14:paraId="2993C5D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Reducción de merma en al menos 0,09 pp y mejora del EBITDA. - Menos horas de análisis y decisiones más informadas.</w:t>
      </w:r>
    </w:p>
    <w:p w14:paraId="2993C5DA" w14:textId="77777777" w:rsidR="001B29E2" w:rsidRDefault="00000000">
      <w:r>
        <w:pict w14:anchorId="2993C760">
          <v:rect id="_x0000_i1028" style="width:0;height:1.5pt" o:hralign="center" o:hrstd="t" o:hr="t"/>
        </w:pict>
      </w:r>
    </w:p>
    <w:p w14:paraId="2993C5DB" w14:textId="77777777" w:rsidR="001B29E2" w:rsidRPr="002E5B48" w:rsidRDefault="001D3FBF">
      <w:pPr>
        <w:pStyle w:val="Ttulo1"/>
        <w:rPr>
          <w:lang w:val="es-CL"/>
        </w:rPr>
      </w:pPr>
      <w:bookmarkStart w:id="4" w:name="ia-en-búsqueda-de-máx.-la-producción"/>
      <w:bookmarkEnd w:id="3"/>
      <w:r w:rsidRPr="002E5B48">
        <w:rPr>
          <w:lang w:val="es-CL"/>
        </w:rPr>
        <w:t>IA en búsqueda de máx. la producción</w:t>
      </w:r>
    </w:p>
    <w:p w14:paraId="2993C5DC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Indicadores operativos con espacio de mejora; mortalidad en transporte sobre meta en 70% de 2023.</w:t>
      </w:r>
    </w:p>
    <w:p w14:paraId="2993C5D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Solución creativa o innovadora</w:t>
      </w:r>
      <w:r w:rsidRPr="002E5B48">
        <w:rPr>
          <w:lang w:val="es-CL"/>
        </w:rPr>
        <w:t xml:space="preserve"> - Herramientas de IA que generan accionables óptimos a partir de datos operativos para mejorar productividad y calidad en múltiples procesos.</w:t>
      </w:r>
    </w:p>
    <w:p w14:paraId="2993C5DE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Costo estimado: USD 0. - Calidad/disponibilidad de datos; monitoreo y ajuste continuo. - Simplicidad, accionabilidad y mínima capacitación.</w:t>
      </w:r>
    </w:p>
    <w:p w14:paraId="2993C5D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Disminución proyectada de mortalidad en transporte y optimización de procesos con impacto en rentabilidad.</w:t>
      </w:r>
    </w:p>
    <w:p w14:paraId="2993C5E0" w14:textId="77777777" w:rsidR="001B29E2" w:rsidRDefault="00000000">
      <w:r>
        <w:pict w14:anchorId="2993C761">
          <v:rect id="_x0000_i1029" style="width:0;height:1.5pt" o:hralign="center" o:hrstd="t" o:hr="t"/>
        </w:pict>
      </w:r>
    </w:p>
    <w:p w14:paraId="2993C5E1" w14:textId="77777777" w:rsidR="001B29E2" w:rsidRPr="002E5B48" w:rsidRDefault="001D3FBF">
      <w:pPr>
        <w:pStyle w:val="Ttulo1"/>
        <w:rPr>
          <w:lang w:val="es-CL"/>
        </w:rPr>
      </w:pPr>
      <w:bookmarkStart w:id="5" w:name="clientes-nuevos"/>
      <w:bookmarkEnd w:id="4"/>
      <w:r w:rsidRPr="002E5B48">
        <w:rPr>
          <w:lang w:val="es-CL"/>
        </w:rPr>
        <w:t>Clientes Nuevos</w:t>
      </w:r>
    </w:p>
    <w:p w14:paraId="2993C5E2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Proceso de creación 100% manual, lento y con alta tasa de error; cuellos de botella interáreas y abandono del 16%.</w:t>
      </w:r>
    </w:p>
    <w:p w14:paraId="2993C5E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Flujo automatizado end-to-end: validación SII y Compliance, ventas y operaciones; alta en datos maestros; habilitación inmediata y bienvenida, con integración a CRM y venta remota.</w:t>
      </w:r>
    </w:p>
    <w:p w14:paraId="2993C5E4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Costo implementación: 1.552 UF (Fase 1 SII/interlocutores; Fase 2 SAP + CRM/WSP/Gregario). - Aumento de productividad ≥15% y retención ≥35%. - Sistema 24/7, operación continua sin cuellos de botella.</w:t>
      </w:r>
    </w:p>
    <w:p w14:paraId="2993C5E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Mejor experiencia (NPS +3), menor error y activación de venta inmediata.</w:t>
      </w:r>
    </w:p>
    <w:p w14:paraId="2993C5E6" w14:textId="77777777" w:rsidR="001B29E2" w:rsidRDefault="00000000">
      <w:r>
        <w:pict w14:anchorId="2993C762">
          <v:rect id="_x0000_i1030" style="width:0;height:1.5pt" o:hralign="center" o:hrstd="t" o:hr="t"/>
        </w:pict>
      </w:r>
    </w:p>
    <w:p w14:paraId="2993C5E7" w14:textId="77777777" w:rsidR="001B29E2" w:rsidRPr="002E5B48" w:rsidRDefault="001D3FBF">
      <w:pPr>
        <w:pStyle w:val="Ttulo1"/>
        <w:rPr>
          <w:lang w:val="es-CL"/>
        </w:rPr>
      </w:pPr>
      <w:bookmarkStart w:id="6" w:name="capitalizando-la-ia"/>
      <w:bookmarkEnd w:id="5"/>
      <w:r w:rsidRPr="002E5B48">
        <w:rPr>
          <w:lang w:val="es-CL"/>
        </w:rPr>
        <w:t>Capitalizando la IA</w:t>
      </w:r>
    </w:p>
    <w:p w14:paraId="2993C5E8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Informes de capital de trabajo manuales, con errores y lentitud; ~20% de imprecisiones y 3 h/semana por informe.</w:t>
      </w:r>
    </w:p>
    <w:p w14:paraId="2993C5E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IA que explica variaciones y analiza múltiples formatos (tablas, imágenes, Excel, CSV); conectada a hojas de cálculo para comparar real vs. presupuesto/histórico.</w:t>
      </w:r>
    </w:p>
    <w:p w14:paraId="2993C5EA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Infraestructura en Azure y herramientas analíticas; integración con SharePoint. - Calidad de datos y adopción de usuarios.</w:t>
      </w:r>
    </w:p>
    <w:p w14:paraId="2993C5E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Reducción de ~75% del tiempo de elaboración, mayor precisión y mejores decisiones.</w:t>
      </w:r>
    </w:p>
    <w:p w14:paraId="2993C5EC" w14:textId="77777777" w:rsidR="001B29E2" w:rsidRDefault="00000000">
      <w:r>
        <w:pict w14:anchorId="2993C763">
          <v:rect id="_x0000_i1031" style="width:0;height:1.5pt" o:hralign="center" o:hrstd="t" o:hr="t"/>
        </w:pict>
      </w:r>
    </w:p>
    <w:p w14:paraId="2993C5ED" w14:textId="77777777" w:rsidR="001B29E2" w:rsidRPr="002E5B48" w:rsidRDefault="001D3FBF">
      <w:pPr>
        <w:pStyle w:val="Ttulo1"/>
        <w:rPr>
          <w:lang w:val="es-CL"/>
        </w:rPr>
      </w:pPr>
      <w:bookmarkStart w:id="7" w:name="Xa549ac4290f47450b6e59fde58010733361f8dc"/>
      <w:bookmarkEnd w:id="6"/>
      <w:r w:rsidRPr="002E5B48">
        <w:rPr>
          <w:lang w:val="es-CL"/>
        </w:rPr>
        <w:lastRenderedPageBreak/>
        <w:t>Sistema de gestión integral de desviaciones</w:t>
      </w:r>
    </w:p>
    <w:p w14:paraId="2993C5EE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Disminuir variabilidad operativa asegurando estándares oportunos y comunicación efectiva a piso de planta.</w:t>
      </w:r>
    </w:p>
    <w:p w14:paraId="2993C5E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Modelo de gestión de desviaciones con andon para comunicación instantánea y uso de IA para consulta de estándares y buenas prácticas.</w:t>
      </w:r>
    </w:p>
    <w:p w14:paraId="2993C5F0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Privacidad de información; cobertura en piso y MS 365; percepción por vibración. - Interpretación de preguntas y efectividad de respuestas. - Impacto en variabilidad y tiempos de respuesta.</w:t>
      </w:r>
    </w:p>
    <w:p w14:paraId="2993C5F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Mejores rendimientos productivos y tiempos de respuesta significativamente mayores.</w:t>
      </w:r>
    </w:p>
    <w:p w14:paraId="2993C5F2" w14:textId="77777777" w:rsidR="001B29E2" w:rsidRDefault="00000000">
      <w:r>
        <w:pict w14:anchorId="2993C764">
          <v:rect id="_x0000_i1032" style="width:0;height:1.5pt" o:hralign="center" o:hrstd="t" o:hr="t"/>
        </w:pict>
      </w:r>
    </w:p>
    <w:p w14:paraId="2993C5F3" w14:textId="77777777" w:rsidR="001B29E2" w:rsidRPr="002E5B48" w:rsidRDefault="001D3FBF">
      <w:pPr>
        <w:pStyle w:val="Ttulo1"/>
        <w:rPr>
          <w:lang w:val="es-CL"/>
        </w:rPr>
      </w:pPr>
      <w:bookmarkStart w:id="8" w:name="pedidos-palm"/>
      <w:bookmarkEnd w:id="7"/>
      <w:r w:rsidRPr="002E5B48">
        <w:rPr>
          <w:lang w:val="es-CL"/>
        </w:rPr>
        <w:t>Pedidos PALM</w:t>
      </w:r>
    </w:p>
    <w:p w14:paraId="2993C5F4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Reducción de dotación nocturna en bodega de materiales genera demoras, urgencias sin atención y descuadraturas de stock.</w:t>
      </w:r>
    </w:p>
    <w:p w14:paraId="2993C5F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Autoatención en bodega con PC + pistola Fiori o celular; tutorial y formulario simple para reservas.</w:t>
      </w:r>
    </w:p>
    <w:p w14:paraId="2993C5F6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- 2 FTE/US$ 14.000 anuales; equipamiento básico. - Experiencia positiva y usabilidad alta.</w:t>
      </w:r>
    </w:p>
    <w:p w14:paraId="2993C5F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Menos tiempos muertos y detenciones de planta; reducción de HH en dotación.</w:t>
      </w:r>
    </w:p>
    <w:p w14:paraId="2993C5F8" w14:textId="77777777" w:rsidR="001B29E2" w:rsidRDefault="00000000">
      <w:r>
        <w:pict w14:anchorId="2993C765">
          <v:rect id="_x0000_i1033" style="width:0;height:1.5pt" o:hralign="center" o:hrstd="t" o:hr="t"/>
        </w:pict>
      </w:r>
    </w:p>
    <w:p w14:paraId="2993C5F9" w14:textId="77777777" w:rsidR="001B29E2" w:rsidRPr="002E5B48" w:rsidRDefault="001D3FBF">
      <w:pPr>
        <w:pStyle w:val="Ttulo1"/>
        <w:rPr>
          <w:lang w:val="es-CL"/>
        </w:rPr>
      </w:pPr>
      <w:bookmarkStart w:id="9" w:name="pick-up-agrosuper"/>
      <w:bookmarkEnd w:id="8"/>
      <w:r w:rsidRPr="002E5B48">
        <w:rPr>
          <w:lang w:val="es-CL"/>
        </w:rPr>
        <w:t>Pick Up Agrosuper</w:t>
      </w:r>
    </w:p>
    <w:p w14:paraId="2993C5FA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Foodservice con demanda errática y baja capacidad de almacenamiento; despachos por frecuencia generan quiebres y urgencias.</w:t>
      </w:r>
    </w:p>
    <w:p w14:paraId="2993C5F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Punto de retiro en sucursal con ventanas horarias en el mismo día y pedidos vía WhatsApp Bot; piloto en Iquique.</w:t>
      </w:r>
    </w:p>
    <w:p w14:paraId="2993C5FC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Desarrollo del Bot; compatibilidad con operación continua; alternativa de abastecimiento de urgencia; retiro flexible fuera de frecuencia.</w:t>
      </w:r>
    </w:p>
    <w:p w14:paraId="2993C5F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Venta incremental, más pedidos y kilos movilizados; mejor satisfacción por respuesta ágil.</w:t>
      </w:r>
    </w:p>
    <w:p w14:paraId="2993C5FE" w14:textId="77777777" w:rsidR="001B29E2" w:rsidRDefault="00000000">
      <w:r>
        <w:lastRenderedPageBreak/>
        <w:pict w14:anchorId="2993C766">
          <v:rect id="_x0000_i1034" style="width:0;height:1.5pt" o:hralign="center" o:hrstd="t" o:hr="t"/>
        </w:pict>
      </w:r>
    </w:p>
    <w:p w14:paraId="2993C5FF" w14:textId="77777777" w:rsidR="001B29E2" w:rsidRPr="002E5B48" w:rsidRDefault="001D3FBF">
      <w:pPr>
        <w:pStyle w:val="Ttulo1"/>
        <w:rPr>
          <w:lang w:val="es-CL"/>
        </w:rPr>
      </w:pPr>
      <w:bookmarkStart w:id="10" w:name="directo-al-corte"/>
      <w:bookmarkEnd w:id="9"/>
      <w:r w:rsidRPr="002E5B48">
        <w:rPr>
          <w:lang w:val="es-CL"/>
        </w:rPr>
        <w:t>Directo al Corte</w:t>
      </w:r>
    </w:p>
    <w:p w14:paraId="2993C600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Ajustes manuales de trozadoras cada 1 hora; la variación de peso no se corrige en línea, reduciendo kilos a la venta. - 10% del tiempo del maquinista dedicado a ajustes, con desempeño dependiente de la persona.</w:t>
      </w:r>
    </w:p>
    <w:p w14:paraId="2993C60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Algoritmo de visión artificial que predice pesos, identifica la zona de corte y envía señales en línea a un PLC para ajustar automáticamente los módulos de corte. - Piloto de 4 meses (Trozadora N°3, turnos AM) para validar variables críticas.</w:t>
      </w:r>
    </w:p>
    <w:p w14:paraId="2993C602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Operatividad: sin intervención humana directa. - Continuidad/lectura: ≥98%. - Integración técnica: cámara y velocidad de captura; correlación/validación del algoritmo; envío de señal a PLC y ajuste con servomotores. - Costos: piloto USD 5.000; adquisición USD 77.720; algoritmo + dashboard USD 48.000; ampliación por línea USD 2.500. - Escalabilidad: implementable en otras plantas con la misma maquinaria (ej. San Vicente).</w:t>
      </w:r>
    </w:p>
    <w:p w14:paraId="2993C60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Aumento de rendimiento: +0,93% en ala (~16.780 kg/mes) y +0,40% en trutro (~21.499 kg/mes). - Liberación de capacidad: −8 h/semana en ajustes; ~416 HHT. - Impacto económico: EBITDA estimado ~USD 826.171.</w:t>
      </w:r>
    </w:p>
    <w:p w14:paraId="2993C604" w14:textId="77777777" w:rsidR="001B29E2" w:rsidRDefault="00000000">
      <w:r>
        <w:pict w14:anchorId="2993C767">
          <v:rect id="_x0000_i1035" style="width:0;height:1.5pt" o:hralign="center" o:hrstd="t" o:hr="t"/>
        </w:pict>
      </w:r>
    </w:p>
    <w:p w14:paraId="2993C605" w14:textId="77777777" w:rsidR="001B29E2" w:rsidRPr="002E5B48" w:rsidRDefault="001D3FBF">
      <w:pPr>
        <w:pStyle w:val="Ttulo1"/>
        <w:rPr>
          <w:lang w:val="es-CL"/>
        </w:rPr>
      </w:pPr>
      <w:bookmarkStart w:id="11" w:name="genodata"/>
      <w:bookmarkEnd w:id="10"/>
      <w:r w:rsidRPr="002E5B48">
        <w:rPr>
          <w:lang w:val="es-CL"/>
        </w:rPr>
        <w:t>Genodata</w:t>
      </w:r>
    </w:p>
    <w:p w14:paraId="2993C606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Detección de Salmonella en aves con procesos manuales y doble chequeo PCR de ~24 h, limitados a ~15 muestras/semana, lo que retrasa decisiones y deja aves potencialmente disponibles fuera de faena sin intervención química.</w:t>
      </w:r>
    </w:p>
    <w:p w14:paraId="2993C60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Genodata: secuenciación genética en cubrecalzados con equipo portable y software dedicado. Reduce tiempos de diagnóstico de 24 a 8 h. POC de 3 meses y piloto de 1 semana para validar implementabilidad.</w:t>
      </w:r>
    </w:p>
    <w:p w14:paraId="2993C608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Costo por muestra ≤ USD 12; homologación/validación ≥95% frente al método oficial; disponibilidad de aves sin intervención química ≥5% vs. actual; facilidad de uso; opción de serotipificación desde la misma muestra.</w:t>
      </w:r>
    </w:p>
    <w:p w14:paraId="2993C60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−67% en tiempo de diagnóstico, mayor disponibilidad de aves para faena, mejor coordinación transporte/faena/comercial y EBITDA estimado ~USD 407.689.</w:t>
      </w:r>
    </w:p>
    <w:p w14:paraId="2993C60A" w14:textId="77777777" w:rsidR="001B29E2" w:rsidRDefault="00000000">
      <w:r>
        <w:lastRenderedPageBreak/>
        <w:pict w14:anchorId="2993C768">
          <v:rect id="_x0000_i1036" style="width:0;height:1.5pt" o:hralign="center" o:hrstd="t" o:hr="t"/>
        </w:pict>
      </w:r>
    </w:p>
    <w:p w14:paraId="2993C60B" w14:textId="77777777" w:rsidR="001B29E2" w:rsidRPr="002E5B48" w:rsidRDefault="001D3FBF">
      <w:pPr>
        <w:pStyle w:val="Ttulo1"/>
        <w:rPr>
          <w:lang w:val="es-CL"/>
        </w:rPr>
      </w:pPr>
      <w:bookmarkStart w:id="12" w:name="tienda-perfecta"/>
      <w:bookmarkEnd w:id="11"/>
      <w:r w:rsidRPr="002E5B48">
        <w:rPr>
          <w:lang w:val="es-CL"/>
        </w:rPr>
        <w:t>Tienda Perfecta</w:t>
      </w:r>
    </w:p>
    <w:p w14:paraId="2993C60C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Brechas en ejecución y abastecimiento en salas de supermercado que generan Venta Perdida y golpean el EBITDA.</w:t>
      </w:r>
    </w:p>
    <w:p w14:paraId="2993C60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Modelo de gestión por indicador de Venta Perdida: identificar origen de la brecha, definir acciones por actor y habilitar herramientas de información para direccionar esfuerzos.</w:t>
      </w:r>
    </w:p>
    <w:p w14:paraId="2993C60E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Meta Venta Perdida 3% a 2 años; +6% productividad de reposición; metas medibles para canal y externos; gobernanza y datos en tiempo real; alineación con áreas.</w:t>
      </w:r>
    </w:p>
    <w:p w14:paraId="2993C60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Captura de ventas en PDV con EBITDA proyectado ~USD 343.985; inversión ~USD 30.000; EBITDA capturado reportado ~USD 83.000.</w:t>
      </w:r>
    </w:p>
    <w:p w14:paraId="2993C610" w14:textId="77777777" w:rsidR="001B29E2" w:rsidRDefault="00000000">
      <w:r>
        <w:pict w14:anchorId="2993C769">
          <v:rect id="_x0000_i1037" style="width:0;height:1.5pt" o:hralign="center" o:hrstd="t" o:hr="t"/>
        </w:pict>
      </w:r>
    </w:p>
    <w:p w14:paraId="2993C611" w14:textId="77777777" w:rsidR="001B29E2" w:rsidRPr="002E5B48" w:rsidRDefault="001D3FBF">
      <w:pPr>
        <w:pStyle w:val="Ttulo1"/>
        <w:rPr>
          <w:lang w:val="es-CL"/>
        </w:rPr>
      </w:pPr>
      <w:bookmarkStart w:id="13" w:name="siente-el-flow-con-signavio"/>
      <w:bookmarkEnd w:id="12"/>
      <w:r w:rsidRPr="002E5B48">
        <w:rPr>
          <w:lang w:val="es-CL"/>
        </w:rPr>
        <w:t>Siente el FLOW con SIGNAVIO</w:t>
      </w:r>
    </w:p>
    <w:p w14:paraId="2993C612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No existe una herramienta única y centralizada para comprender, auditar y optimizar procesos, lo que frena eficiencia y agilidad.</w:t>
      </w:r>
    </w:p>
    <w:p w14:paraId="2993C61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Suite de minería y gestión de procesos integrada a SAP; POC conectada a SAP ECC escaneando Cuentas por Pagar, con hallazgos de ineficiencias y recomendaciones paso a paso.</w:t>
      </w:r>
    </w:p>
    <w:p w14:paraId="2993C614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Validación de optimización (as-is vs. simulación), tasa de automatización, roles y capacitación; compatibilidad técnica con ECC; estandarización de flujos.</w:t>
      </w:r>
    </w:p>
    <w:p w14:paraId="2993C61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Decisiones con datos, menos retrabajos, analítica en tiempo real y EBITDA estimado ~USD 512.267.</w:t>
      </w:r>
    </w:p>
    <w:p w14:paraId="2993C616" w14:textId="77777777" w:rsidR="001B29E2" w:rsidRDefault="00000000">
      <w:r>
        <w:pict w14:anchorId="2993C76A">
          <v:rect id="_x0000_i1038" style="width:0;height:1.5pt" o:hralign="center" o:hrstd="t" o:hr="t"/>
        </w:pict>
      </w:r>
    </w:p>
    <w:p w14:paraId="2993C617" w14:textId="77777777" w:rsidR="001B29E2" w:rsidRPr="002E5B48" w:rsidRDefault="001D3FBF">
      <w:pPr>
        <w:pStyle w:val="Ttulo1"/>
        <w:rPr>
          <w:lang w:val="es-CL"/>
        </w:rPr>
      </w:pPr>
      <w:bookmarkStart w:id="14" w:name="jamones-triple-impacto"/>
      <w:bookmarkEnd w:id="13"/>
      <w:r w:rsidRPr="002E5B48">
        <w:rPr>
          <w:lang w:val="es-CL"/>
        </w:rPr>
        <w:t>Jamones Triple Impacto</w:t>
      </w:r>
    </w:p>
    <w:p w14:paraId="2993C618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- 8% de merma de jamones en hornos, tiempos de ahumado 2–3 h y costos asociados a mantención/aseo y aserrín; impacto ambiental por quema de aserrín (huella y normativa).</w:t>
      </w:r>
    </w:p>
    <w:p w14:paraId="2993C61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Ahumado con humo líquido por inmersión y aspersión para jamones y parrilleros.</w:t>
      </w:r>
    </w:p>
    <w:p w14:paraId="2993C61A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Variables críticas</w:t>
      </w:r>
      <w:r w:rsidRPr="002E5B48">
        <w:rPr>
          <w:lang w:val="es-CL"/>
        </w:rPr>
        <w:t xml:space="preserve"> - Inversión inicial ~USD 3.510; validar reducción de merma en 1%; consumo de humo líquido y costos de insumo; calidad e inocuidad; SSO; capacidad de aire comprimido.</w:t>
      </w:r>
    </w:p>
    <w:p w14:paraId="2993C61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Disminución de merma y otros ahorros (~USD 207.985/año), mejora ambiental y EBITDA ~USD 193.500; solución replicable y de implementación corta.</w:t>
      </w:r>
    </w:p>
    <w:p w14:paraId="2993C61C" w14:textId="77777777" w:rsidR="001B29E2" w:rsidRDefault="00000000">
      <w:r>
        <w:pict w14:anchorId="2993C76B">
          <v:rect id="_x0000_i1039" style="width:0;height:1.5pt" o:hralign="center" o:hrstd="t" o:hr="t"/>
        </w:pict>
      </w:r>
    </w:p>
    <w:p w14:paraId="2993C61D" w14:textId="77777777" w:rsidR="001B29E2" w:rsidRPr="002E5B48" w:rsidRDefault="001D3FBF">
      <w:pPr>
        <w:pStyle w:val="Ttulo1"/>
        <w:rPr>
          <w:lang w:val="es-CL"/>
        </w:rPr>
      </w:pPr>
      <w:bookmarkStart w:id="15" w:name="chicharrones-de-cerdo"/>
      <w:bookmarkEnd w:id="14"/>
      <w:r w:rsidRPr="002E5B48">
        <w:rPr>
          <w:lang w:val="es-CL"/>
        </w:rPr>
        <w:t>Chicharrones de cerdo</w:t>
      </w:r>
    </w:p>
    <w:p w14:paraId="2993C61E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Ausencia de chicharrón de cerdo en retail nacional pese a demanda emergente y tendencias de consumo.</w:t>
      </w:r>
    </w:p>
    <w:p w14:paraId="2993C61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Desarrollo de tres formatos: IQF 500 g y snacks 100/200 g, con maquila para acelerar salida al mercado y cobertura de canales.</w:t>
      </w:r>
    </w:p>
    <w:p w14:paraId="2993C620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Convertir 100% del subproducto en producto terminado a 2 años; margen ≥15% promedio; 10% de layout en pasillos snack; validación del maquilador; entrada a tiendas de conveniencia.</w:t>
      </w:r>
    </w:p>
    <w:p w14:paraId="2993C62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Apertura de nuevos mercados y mayor participación, con EBITDA proyectado ~USD 946.050 y metas de market share (+2%).</w:t>
      </w:r>
    </w:p>
    <w:p w14:paraId="2993C622" w14:textId="77777777" w:rsidR="001B29E2" w:rsidRDefault="00000000">
      <w:r>
        <w:pict w14:anchorId="2993C76C">
          <v:rect id="_x0000_i1040" style="width:0;height:1.5pt" o:hralign="center" o:hrstd="t" o:hr="t"/>
        </w:pict>
      </w:r>
    </w:p>
    <w:p w14:paraId="2993C623" w14:textId="77777777" w:rsidR="001B29E2" w:rsidRPr="002E5B48" w:rsidRDefault="001D3FBF">
      <w:pPr>
        <w:pStyle w:val="Ttulo1"/>
        <w:rPr>
          <w:lang w:val="es-CL"/>
        </w:rPr>
      </w:pPr>
      <w:bookmarkStart w:id="16" w:name="colorea-la-fuga"/>
      <w:bookmarkEnd w:id="15"/>
      <w:r w:rsidRPr="002E5B48">
        <w:rPr>
          <w:lang w:val="es-CL"/>
        </w:rPr>
        <w:t>Colorea la Fuga</w:t>
      </w:r>
    </w:p>
    <w:p w14:paraId="2993C624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Riesgos de amoníaco con detenciones prolongadas y exposición de personas; eventos con horas de planta detenida.</w:t>
      </w:r>
    </w:p>
    <w:p w14:paraId="2993C62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Sistema remoto con cámaras termográficas y detección por IA en tiempo real, alertas y monitoreo para mitigar fugas.</w:t>
      </w:r>
    </w:p>
    <w:p w14:paraId="2993C626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Instalación en puntos de alto riesgo; velocidad de detección casi inmediata; pruebas offline/online; escalabilidad a múltiples plantas; usabilidad en paneles de monitoreo.</w:t>
      </w:r>
    </w:p>
    <w:p w14:paraId="2993C62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Menor tiempo de reacción, reducción de detenciones y riesgo para las personas; aumento de disponibilidad diaria de planta.</w:t>
      </w:r>
    </w:p>
    <w:p w14:paraId="2993C628" w14:textId="77777777" w:rsidR="001B29E2" w:rsidRDefault="00000000">
      <w:r>
        <w:pict w14:anchorId="2993C76D">
          <v:rect id="_x0000_i1041" style="width:0;height:1.5pt" o:hralign="center" o:hrstd="t" o:hr="t"/>
        </w:pict>
      </w:r>
    </w:p>
    <w:p w14:paraId="2993C629" w14:textId="77777777" w:rsidR="001B29E2" w:rsidRPr="002E5B48" w:rsidRDefault="001D3FBF">
      <w:pPr>
        <w:pStyle w:val="Ttulo1"/>
        <w:rPr>
          <w:lang w:val="es-CL"/>
        </w:rPr>
      </w:pPr>
      <w:bookmarkStart w:id="17" w:name="hidrólisis-de-pectina"/>
      <w:bookmarkEnd w:id="16"/>
      <w:r w:rsidRPr="002E5B48">
        <w:rPr>
          <w:lang w:val="es-CL"/>
        </w:rPr>
        <w:lastRenderedPageBreak/>
        <w:t>Hidrólisis de Pectina</w:t>
      </w:r>
    </w:p>
    <w:p w14:paraId="2993C62A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Alta proporción de reclamos organolépticos en Aves con impacto en decomisos y costos.</w:t>
      </w:r>
    </w:p>
    <w:p w14:paraId="2993C62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Ingrediente antioxidante y antimicrobiano vía hidrólisis de pectina, en desarrollo con PUCV, con potencial de reemplazar ácido peracético.</w:t>
      </w:r>
    </w:p>
    <w:p w14:paraId="2993C62C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Efectividad técnica vs. peracético; costo de fabricación/consumo; reducción de antiespumante; validación industrial; seguridad y “etiqueta limpia”.</w:t>
      </w:r>
    </w:p>
    <w:p w14:paraId="2993C62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−58% en reclamos organolépticos, −51 ton en decomisos, −3 ton en químicos y EBITDA estimado ~USD 70.915.</w:t>
      </w:r>
    </w:p>
    <w:p w14:paraId="2993C62E" w14:textId="77777777" w:rsidR="001B29E2" w:rsidRDefault="00000000">
      <w:r>
        <w:pict w14:anchorId="2993C76E">
          <v:rect id="_x0000_i1042" style="width:0;height:1.5pt" o:hralign="center" o:hrstd="t" o:hr="t"/>
        </w:pict>
      </w:r>
    </w:p>
    <w:p w14:paraId="2993C62F" w14:textId="77777777" w:rsidR="001B29E2" w:rsidRPr="002E5B48" w:rsidRDefault="001D3FBF">
      <w:pPr>
        <w:pStyle w:val="Ttulo1"/>
        <w:rPr>
          <w:lang w:val="es-CL"/>
        </w:rPr>
      </w:pPr>
      <w:bookmarkStart w:id="18" w:name="pechuga-entera-bajo-cero"/>
      <w:bookmarkEnd w:id="17"/>
      <w:r w:rsidRPr="002E5B48">
        <w:rPr>
          <w:lang w:val="es-CL"/>
        </w:rPr>
        <w:t>Pechuga entera bajo cero</w:t>
      </w:r>
    </w:p>
    <w:p w14:paraId="2993C630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Subcategoría IQF sin participación actual; oportunidad de competir con SEARA con propuesta de mayor frescura/calidad.</w:t>
      </w:r>
    </w:p>
    <w:p w14:paraId="2993C63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Pechuga entera IQF 1 kg, 22% marinada, 15 unid/caja; diseño coherente con línea IQF y foco en ejecución en sala.</w:t>
      </w:r>
    </w:p>
    <w:p w14:paraId="2993C632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Crecimiento de ventas 50% sell in/out; market share objetivo 70%; facing; tecnología y logística de IQF; control de gramaje; presencia multicanal.</w:t>
      </w:r>
    </w:p>
    <w:p w14:paraId="2993C63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EBITDA estimado ~USD 293.595; OSA objetivo 92% y crecimiento de sell-out.</w:t>
      </w:r>
    </w:p>
    <w:p w14:paraId="2993C634" w14:textId="77777777" w:rsidR="001B29E2" w:rsidRDefault="00000000">
      <w:r>
        <w:pict w14:anchorId="2993C76F">
          <v:rect id="_x0000_i1043" style="width:0;height:1.5pt" o:hralign="center" o:hrstd="t" o:hr="t"/>
        </w:pict>
      </w:r>
    </w:p>
    <w:p w14:paraId="2993C635" w14:textId="77777777" w:rsidR="001B29E2" w:rsidRPr="002E5B48" w:rsidRDefault="001D3FBF">
      <w:pPr>
        <w:pStyle w:val="Ttulo1"/>
        <w:rPr>
          <w:lang w:val="es-CL"/>
        </w:rPr>
      </w:pPr>
      <w:bookmarkStart w:id="19" w:name="sanitizado-de-guantes"/>
      <w:bookmarkEnd w:id="18"/>
      <w:r w:rsidRPr="002E5B48">
        <w:rPr>
          <w:lang w:val="es-CL"/>
        </w:rPr>
        <w:t>Sanitizado de guantes</w:t>
      </w:r>
    </w:p>
    <w:p w14:paraId="2993C636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Alta carga microbiana en guantes de malla por acumulación de restos cárnicos que deriva en contaminación por Salmonella spp.</w:t>
      </w:r>
    </w:p>
    <w:p w14:paraId="2993C63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Equipos compactos para lavado/esterilizado durante la operación, con el brazo y guante puestos, mejorando higiene y tiempos.</w:t>
      </w:r>
    </w:p>
    <w:p w14:paraId="2993C638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Inversión USD 5.907 (5 equipos); aumento disponibilidad UE +25 ton/año; −1 FTE en lavado; menor consumo de agua/químicos; estandarización; limpieza en ~20 s.</w:t>
      </w:r>
    </w:p>
    <w:p w14:paraId="2993C63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Beneficios del proyecto</w:t>
      </w:r>
      <w:r w:rsidRPr="002E5B48">
        <w:rPr>
          <w:lang w:val="es-CL"/>
        </w:rPr>
        <w:t xml:space="preserve"> - Disminución de contaminación, cumplimiento regulatorio y más producto disponible para mercados exigentes; EBITDA estimado ~USD 80.699.</w:t>
      </w:r>
    </w:p>
    <w:p w14:paraId="2993C63A" w14:textId="77777777" w:rsidR="001B29E2" w:rsidRDefault="00000000">
      <w:r>
        <w:pict w14:anchorId="2993C770">
          <v:rect id="_x0000_i1044" style="width:0;height:1.5pt" o:hralign="center" o:hrstd="t" o:hr="t"/>
        </w:pict>
      </w:r>
    </w:p>
    <w:p w14:paraId="2993C63B" w14:textId="77777777" w:rsidR="001B29E2" w:rsidRPr="002E5B48" w:rsidRDefault="001D3FBF">
      <w:pPr>
        <w:pStyle w:val="Ttulo1"/>
        <w:rPr>
          <w:lang w:val="es-CL"/>
        </w:rPr>
      </w:pPr>
      <w:bookmarkStart w:id="20" w:name="sso-conectados"/>
      <w:bookmarkEnd w:id="19"/>
      <w:r w:rsidRPr="002E5B48">
        <w:rPr>
          <w:lang w:val="es-CL"/>
        </w:rPr>
        <w:t>SSO Conectados</w:t>
      </w:r>
    </w:p>
    <w:p w14:paraId="2993C63C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Bajo nivel de digitalización en SSO y falta de integración que dificulta decisiones, cumplimiento y cultura preventiva.</w:t>
      </w:r>
    </w:p>
    <w:p w14:paraId="2993C63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Plataforma transversal de SSO con apps web/móvil, módulos escalables, analítica integrada e IA; mapa de 17 flujos y MVP por etapas.</w:t>
      </w:r>
    </w:p>
    <w:p w14:paraId="2993C63E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Implementación 570 UF y servicio 70 UF; integración con SuccessFactors; ciberseguridad y arquitectura; gestión del cambio y roles.</w:t>
      </w:r>
    </w:p>
    <w:p w14:paraId="2993C63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−10% en tasa de accidentabilidad, +33% HH en terreno y 100% cierre de medidas, con control y trazabilidad centralizada.</w:t>
      </w:r>
    </w:p>
    <w:p w14:paraId="2993C640" w14:textId="77777777" w:rsidR="001B29E2" w:rsidRDefault="00000000">
      <w:r>
        <w:pict w14:anchorId="2993C771">
          <v:rect id="_x0000_i1045" style="width:0;height:1.5pt" o:hralign="center" o:hrstd="t" o:hr="t"/>
        </w:pict>
      </w:r>
    </w:p>
    <w:p w14:paraId="2993C641" w14:textId="77777777" w:rsidR="001B29E2" w:rsidRPr="002E5B48" w:rsidRDefault="001D3FBF">
      <w:pPr>
        <w:pStyle w:val="Ttulo1"/>
        <w:rPr>
          <w:lang w:val="es-CL"/>
        </w:rPr>
      </w:pPr>
      <w:bookmarkStart w:id="21" w:name="genesys-cloud"/>
      <w:bookmarkEnd w:id="20"/>
      <w:r w:rsidRPr="002E5B48">
        <w:rPr>
          <w:lang w:val="es-CL"/>
        </w:rPr>
        <w:t>Genesys Cloud</w:t>
      </w:r>
    </w:p>
    <w:p w14:paraId="2993C642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Ecosistema multicanal disperso: 180.000 llamadas salientes y 35.200 entrantes, &gt;100.000 conversaciones por WhatsApp y &gt;30.000 campañas mensuales con 170 usuarios. Silos de información impiden la omnicanalidad y elevan la fricción. - Clientes más exigentes requieren experiencias integradas, consistentes y con menor tiempo de respuesta.</w:t>
      </w:r>
    </w:p>
    <w:p w14:paraId="2993C64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Plataforma cloud “world class” para orquestar puntos de contacto, más allá de un contact center. Integra con sistemas existentes, habilita automatización y mejora la resolución en el primer contacto.</w:t>
      </w:r>
    </w:p>
    <w:p w14:paraId="2993C644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Economía: costo de implementación ~USD 66.461; operación mensual ~USD 29.732 (28,2% menor que la actual); ahorro en productividad equivalente a ~USD 18.333. - Técnica: integración con CRM y otros sistemas; servicio continuo; conectividad desde cualquier lugar; ciberseguridad; facilidad de uso para agentes; personalización por visibilidad de cliente. - Cambio: coexistencia Cloud/On‑Prem, tiempo de adaptación y capacitación de agentes.</w:t>
      </w:r>
    </w:p>
    <w:p w14:paraId="2993C64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Impacto estimado: ~USD 100.935 en EBITDA y ~28.813 HHT anuales. - +16% en resolución del primer contacto, +5% en ticket promedio y +5 puntos en NPS. - Experiencia omnicanal más ágil y coherente para clientes y consumidores.</w:t>
      </w:r>
    </w:p>
    <w:p w14:paraId="2993C646" w14:textId="77777777" w:rsidR="001B29E2" w:rsidRDefault="00000000">
      <w:r>
        <w:lastRenderedPageBreak/>
        <w:pict w14:anchorId="2993C772">
          <v:rect id="_x0000_i1046" style="width:0;height:1.5pt" o:hralign="center" o:hrstd="t" o:hr="t"/>
        </w:pict>
      </w:r>
    </w:p>
    <w:p w14:paraId="2993C647" w14:textId="77777777" w:rsidR="001B29E2" w:rsidRPr="002E5B48" w:rsidRDefault="001D3FBF">
      <w:pPr>
        <w:pStyle w:val="Ttulo1"/>
        <w:rPr>
          <w:lang w:val="es-CL"/>
        </w:rPr>
      </w:pPr>
      <w:bookmarkStart w:id="22" w:name="malaya-sin-límites"/>
      <w:bookmarkEnd w:id="21"/>
      <w:r w:rsidRPr="002E5B48">
        <w:rPr>
          <w:lang w:val="es-CL"/>
        </w:rPr>
        <w:t>Malaya sin límites</w:t>
      </w:r>
    </w:p>
    <w:p w14:paraId="2993C648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La papada de cerdo se vendía como Papada Corea, con bajo valor, pese a una demanda prácticamente ilimitada por Malaya. - Oportunidad de duplicar el volumen diario de 1.000 a 2.000 kg transformando la papada en un producto de mayor valor.</w:t>
      </w:r>
    </w:p>
    <w:p w14:paraId="2993C64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Implementación de una descueradora automática y ajustes de transporte por rodillos; pruebas con diferentes herramientas de prolijado para estandarizar el proceso de obtención de “Malayita”.</w:t>
      </w:r>
    </w:p>
    <w:p w14:paraId="2993C64A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Ajuste fino de la descueradora y equipos de prolijado; seguridad y ergonomía. - Layout y flujo en línea para no afectar rendimientos de otras piezas. - Capacitación de operadores y mantención; disponibilidad de repuestos. - Escalabilidad a otras plantas (ej. Lo Miranda).</w:t>
      </w:r>
    </w:p>
    <w:p w14:paraId="2993C64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Mayor rentabilidad al canjear Papada Corea por Malayita de mayor margen. - Incremento de kilos a la venta y disponibilización de puestos de trabajo.</w:t>
      </w:r>
    </w:p>
    <w:p w14:paraId="2993C64C" w14:textId="77777777" w:rsidR="001B29E2" w:rsidRDefault="00000000">
      <w:r>
        <w:pict w14:anchorId="2993C773">
          <v:rect id="_x0000_i1047" style="width:0;height:1.5pt" o:hralign="center" o:hrstd="t" o:hr="t"/>
        </w:pict>
      </w:r>
    </w:p>
    <w:p w14:paraId="2993C64D" w14:textId="77777777" w:rsidR="001B29E2" w:rsidRPr="002E5B48" w:rsidRDefault="001D3FBF">
      <w:pPr>
        <w:pStyle w:val="Ttulo1"/>
        <w:rPr>
          <w:lang w:val="es-CL"/>
        </w:rPr>
      </w:pPr>
      <w:bookmarkStart w:id="23" w:name="deshuesando-la-chuleta"/>
      <w:bookmarkEnd w:id="22"/>
      <w:r w:rsidRPr="002E5B48">
        <w:rPr>
          <w:lang w:val="es-CL"/>
        </w:rPr>
        <w:t>Deshuesando la chuleta</w:t>
      </w:r>
    </w:p>
    <w:p w14:paraId="2993C64E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Deshuesado manual de chuleta centro con alta exigencia física, variabilidad de cortes y riesgo ergonómico, que afecta rendimiento y rentabilidad.</w:t>
      </w:r>
    </w:p>
    <w:p w14:paraId="2993C64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Máquina deshuesadora automática desarrollada con proveedor local para estandarizar cortes y liberar operarios a tareas de mayor valor.</w:t>
      </w:r>
    </w:p>
    <w:p w14:paraId="2993C650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Puesta a punto del equipo y curvas de operación; calidad del corte. - Capacitación, seguridad y mantenimiento; soporte del proveedor. - Replicabilidad en otras líneas (chuleta vetada, otras plantas).</w:t>
      </w:r>
    </w:p>
    <w:p w14:paraId="2993C65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Productividad +50% y rendimiento Baby Back Ribs +2,3%. - Disponibilización de 6 FTE; EBITDA estimado ~USD 194.934; ~330 HHT capturadas.</w:t>
      </w:r>
    </w:p>
    <w:p w14:paraId="2993C652" w14:textId="77777777" w:rsidR="001B29E2" w:rsidRDefault="00000000">
      <w:r>
        <w:pict w14:anchorId="2993C774">
          <v:rect id="_x0000_i1048" style="width:0;height:1.5pt" o:hralign="center" o:hrstd="t" o:hr="t"/>
        </w:pict>
      </w:r>
    </w:p>
    <w:p w14:paraId="2993C653" w14:textId="77777777" w:rsidR="001B29E2" w:rsidRPr="002E5B48" w:rsidRDefault="001D3FBF">
      <w:pPr>
        <w:pStyle w:val="Ttulo1"/>
        <w:rPr>
          <w:lang w:val="es-CL"/>
        </w:rPr>
      </w:pPr>
      <w:bookmarkStart w:id="24" w:name="baño-turco"/>
      <w:bookmarkEnd w:id="23"/>
      <w:r w:rsidRPr="002E5B48">
        <w:rPr>
          <w:lang w:val="es-CL"/>
        </w:rPr>
        <w:lastRenderedPageBreak/>
        <w:t>Baño Turco</w:t>
      </w:r>
    </w:p>
    <w:p w14:paraId="2993C654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Tras adoptar insensibilizado por CO₂, se elevó la T° de escaldado 3–4 °C para lograr desplumado, generando pérdidas de rendimiento en carcasa.</w:t>
      </w:r>
    </w:p>
    <w:p w14:paraId="2993C65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Escaldado mixto agua + vapor con reducción de estadía en agua caliente; captura y conducción de vahos por desangre; nuevas recetas de T° y extracción.</w:t>
      </w:r>
    </w:p>
    <w:p w14:paraId="2993C656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Entrenamiento de maquinistas; control de pelado y parámetros de escaldado. - Diseño de válvulas/compuertas automáticas; mantenimiento de bancadas. - Medición de consumo de vapor y agua; control de emisiones.</w:t>
      </w:r>
    </w:p>
    <w:p w14:paraId="2993C65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+1,4% de rendimiento de carcasa seca; reducción de 2.904 m³/año de agua y ~208 t CO₂eq/año; aumento de kilos a la venta.</w:t>
      </w:r>
    </w:p>
    <w:p w14:paraId="2993C658" w14:textId="77777777" w:rsidR="001B29E2" w:rsidRDefault="00000000">
      <w:r>
        <w:pict w14:anchorId="2993C775">
          <v:rect id="_x0000_i1049" style="width:0;height:1.5pt" o:hralign="center" o:hrstd="t" o:hr="t"/>
        </w:pict>
      </w:r>
    </w:p>
    <w:p w14:paraId="2993C659" w14:textId="77777777" w:rsidR="001B29E2" w:rsidRPr="002E5B48" w:rsidRDefault="001D3FBF">
      <w:pPr>
        <w:pStyle w:val="Ttulo1"/>
        <w:rPr>
          <w:lang w:val="es-CL"/>
        </w:rPr>
      </w:pPr>
      <w:bookmarkStart w:id="25" w:name="prodas-mcqueen"/>
      <w:bookmarkEnd w:id="24"/>
      <w:r w:rsidRPr="002E5B48">
        <w:rPr>
          <w:lang w:val="es-CL"/>
        </w:rPr>
        <w:t>PRODAS McQueen</w:t>
      </w:r>
    </w:p>
    <w:p w14:paraId="2993C65A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Capacidad de congelado insuficiente y costos altos en servicios externos; ineficiencias en fin de línea y despacho.</w:t>
      </w:r>
    </w:p>
    <w:p w14:paraId="2993C65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Modelo Drop &amp; Hook para almacenaje previo a congelado; uso de racks en túneles estáticos para ganar posiciones; operación dominical.</w:t>
      </w:r>
    </w:p>
    <w:p w14:paraId="2993C65C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Coordinación logística y de turnos; seguridad en almacenaje móvil. - Integridad de cadena de frío y control de inventario. - Replicabilidad entre plantas con diferentes configuraciones.</w:t>
      </w:r>
    </w:p>
    <w:p w14:paraId="2993C65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+16.152 t de disponibilidad de congelado; −28% en costo de flete/sobreestadía; ahorro acumulado &gt;USD 1,7 M; EBITDA ~USD 1.948.920.</w:t>
      </w:r>
    </w:p>
    <w:p w14:paraId="2993C65E" w14:textId="77777777" w:rsidR="001B29E2" w:rsidRDefault="00000000">
      <w:r>
        <w:pict w14:anchorId="2993C776">
          <v:rect id="_x0000_i1050" style="width:0;height:1.5pt" o:hralign="center" o:hrstd="t" o:hr="t"/>
        </w:pict>
      </w:r>
    </w:p>
    <w:p w14:paraId="2993C65F" w14:textId="77777777" w:rsidR="001B29E2" w:rsidRPr="002E5B48" w:rsidRDefault="001D3FBF">
      <w:pPr>
        <w:pStyle w:val="Ttulo1"/>
        <w:rPr>
          <w:lang w:val="es-CL"/>
        </w:rPr>
      </w:pPr>
      <w:bookmarkStart w:id="26" w:name="cubicaje-méxico"/>
      <w:bookmarkEnd w:id="25"/>
      <w:r w:rsidRPr="002E5B48">
        <w:rPr>
          <w:lang w:val="es-CL"/>
        </w:rPr>
        <w:t>Cubicaje México</w:t>
      </w:r>
    </w:p>
    <w:p w14:paraId="2993C660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Baja utilización de contenedores y pallets inestables con rechazos; costos logísticos elevados.</w:t>
      </w:r>
    </w:p>
    <w:p w14:paraId="2993C66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Rediseño de cajas y reducción de aire en bolsas para ganar un piso por pallet; migración de caja 10 kg a 13 kg según morfología del producto.</w:t>
      </w:r>
    </w:p>
    <w:p w14:paraId="2993C662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Variables críticas</w:t>
      </w:r>
      <w:r w:rsidRPr="002E5B48">
        <w:rPr>
          <w:lang w:val="es-CL"/>
        </w:rPr>
        <w:t xml:space="preserve"> - Aprobación de clientes y autoridades; resistencia al cambio de formato. - Disponibilidad de insumos; pruebas industriales y de transporte. - Estandarización por mercado y planta.</w:t>
      </w:r>
    </w:p>
    <w:p w14:paraId="2993C66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+9% kilos por contenedor; ahorro logístico ~USD 625.000 y en materiales ~USD 225.000 anuales; mejor estabilidad y menor daño.</w:t>
      </w:r>
    </w:p>
    <w:p w14:paraId="2993C664" w14:textId="77777777" w:rsidR="001B29E2" w:rsidRDefault="00000000">
      <w:r>
        <w:pict w14:anchorId="2993C777">
          <v:rect id="_x0000_i1051" style="width:0;height:1.5pt" o:hralign="center" o:hrstd="t" o:hr="t"/>
        </w:pict>
      </w:r>
    </w:p>
    <w:p w14:paraId="2993C665" w14:textId="77777777" w:rsidR="001B29E2" w:rsidRPr="002E5B48" w:rsidRDefault="001D3FBF">
      <w:pPr>
        <w:pStyle w:val="Ttulo1"/>
        <w:rPr>
          <w:lang w:val="es-CL"/>
        </w:rPr>
      </w:pPr>
      <w:bookmarkStart w:id="27" w:name="smartfood"/>
      <w:bookmarkEnd w:id="26"/>
      <w:r w:rsidRPr="002E5B48">
        <w:rPr>
          <w:lang w:val="es-CL"/>
        </w:rPr>
        <w:t>Smartfood</w:t>
      </w:r>
    </w:p>
    <w:p w14:paraId="2993C666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Captura y digitalización de datos de calidad lenta y fragmentada; foco reactivo.</w:t>
      </w:r>
    </w:p>
    <w:p w14:paraId="2993C66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Plataforma digital de registros y control con dispositivos conectados, paneles GDA y módulos complementarios (auditorías, CAPA, microbiología).</w:t>
      </w:r>
    </w:p>
    <w:p w14:paraId="2993C668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Homologación de registros y cumplimiento normativo. - Capacitación y adopción en plantas; aseguramiento de datos. - Integración con torres de control y dispositivos BT.</w:t>
      </w:r>
    </w:p>
    <w:p w14:paraId="2993C66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−70% en tiempos de recolección; −92 h/sem en digitalización; 5.168 HHT/año; EBITDA ~USD 10.303 primer año; gestión preventiva.</w:t>
      </w:r>
    </w:p>
    <w:p w14:paraId="2993C66A" w14:textId="77777777" w:rsidR="001B29E2" w:rsidRDefault="00000000">
      <w:r>
        <w:pict w14:anchorId="2993C778">
          <v:rect id="_x0000_i1052" style="width:0;height:1.5pt" o:hralign="center" o:hrstd="t" o:hr="t"/>
        </w:pict>
      </w:r>
    </w:p>
    <w:p w14:paraId="2993C66B" w14:textId="77777777" w:rsidR="001B29E2" w:rsidRPr="002E5B48" w:rsidRDefault="001D3FBF">
      <w:pPr>
        <w:pStyle w:val="Ttulo1"/>
        <w:rPr>
          <w:lang w:val="es-CL"/>
        </w:rPr>
      </w:pPr>
      <w:bookmarkStart w:id="28" w:name="vecino-emprendedor"/>
      <w:bookmarkEnd w:id="27"/>
      <w:r w:rsidRPr="002E5B48">
        <w:rPr>
          <w:lang w:val="es-CL"/>
        </w:rPr>
        <w:t>Vecino Emprendedor</w:t>
      </w:r>
    </w:p>
    <w:p w14:paraId="2993C66C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Postulaciones comunitarias analógicas o con servicios externos, sin dominio ni datos centralizados.</w:t>
      </w:r>
    </w:p>
    <w:p w14:paraId="2993C66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Plataforma propia de postulaciones, evaluación descentralizada, reportes 24/7 y aula virtual.</w:t>
      </w:r>
    </w:p>
    <w:p w14:paraId="2993C66E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Hosting y ciberseguridad; escalabilidad a más programas internos. - Gobierno de datos y soporte; experiencia de usuario.</w:t>
      </w:r>
    </w:p>
    <w:p w14:paraId="2993C66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Reducción de costos informáticos y de papel; 1.800 postulaciones/año; ~67 HHT ahorradas; EBITDA ~USD 9.968; mayor alcance y trazabilidad.</w:t>
      </w:r>
    </w:p>
    <w:p w14:paraId="2993C670" w14:textId="77777777" w:rsidR="001B29E2" w:rsidRDefault="00000000">
      <w:r>
        <w:pict w14:anchorId="2993C779">
          <v:rect id="_x0000_i1053" style="width:0;height:1.5pt" o:hralign="center" o:hrstd="t" o:hr="t"/>
        </w:pict>
      </w:r>
    </w:p>
    <w:p w14:paraId="2993C671" w14:textId="77777777" w:rsidR="001B29E2" w:rsidRPr="002E5B48" w:rsidRDefault="001D3FBF">
      <w:pPr>
        <w:pStyle w:val="Ttulo1"/>
        <w:rPr>
          <w:lang w:val="es-CL"/>
        </w:rPr>
      </w:pPr>
      <w:bookmarkStart w:id="29" w:name="lo-miranda-te-da-alas"/>
      <w:bookmarkEnd w:id="28"/>
      <w:r w:rsidRPr="002E5B48">
        <w:rPr>
          <w:lang w:val="es-CL"/>
        </w:rPr>
        <w:lastRenderedPageBreak/>
        <w:t>Lo Miranda te da alas</w:t>
      </w:r>
    </w:p>
    <w:p w14:paraId="2993C672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Aumento del indicador de “ala puchero” en distintas etapas del proceso, con impacto en calidad, reclamos y margen.</w:t>
      </w:r>
    </w:p>
    <w:p w14:paraId="2993C67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Muestreo diario para identificar puntos críticos; sensores y alertas visuales; diseño de cortador de alas y recuperación de “garra larga”.</w:t>
      </w:r>
    </w:p>
    <w:p w14:paraId="2993C674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Estandarización y seguridad del nuevo equipo; pruebas POEV. - Control de causa raíz en faena y procesos. - Replicabilidad y control de calidad en sala.</w:t>
      </w:r>
    </w:p>
    <w:p w14:paraId="2993C67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Recuperación promedio de +25.850 kg/mes y menos reclamos; EBITDA estimado ~USD 532.418.</w:t>
      </w:r>
    </w:p>
    <w:p w14:paraId="2993C676" w14:textId="77777777" w:rsidR="001B29E2" w:rsidRDefault="00000000">
      <w:r>
        <w:pict w14:anchorId="2993C77A">
          <v:rect id="_x0000_i1054" style="width:0;height:1.5pt" o:hralign="center" o:hrstd="t" o:hr="t"/>
        </w:pict>
      </w:r>
    </w:p>
    <w:p w14:paraId="2993C677" w14:textId="77777777" w:rsidR="001B29E2" w:rsidRPr="002E5B48" w:rsidRDefault="001D3FBF">
      <w:pPr>
        <w:pStyle w:val="Ttulo1"/>
        <w:rPr>
          <w:lang w:val="es-CL"/>
        </w:rPr>
      </w:pPr>
      <w:bookmarkStart w:id="30" w:name="trocitos-a-iqf"/>
      <w:bookmarkEnd w:id="29"/>
      <w:r w:rsidRPr="002E5B48">
        <w:rPr>
          <w:lang w:val="es-CL"/>
        </w:rPr>
        <w:t>Trocitos a IQF</w:t>
      </w:r>
    </w:p>
    <w:p w14:paraId="2993C678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Recortes de calibrado enviados a recuperadora con bajo retorno económico.</w:t>
      </w:r>
    </w:p>
    <w:p w14:paraId="2993C67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Dos nuevos SKUs IQF para food service utilizando trocitos de pechuga y trutro corto, con mayor valor agregado.</w:t>
      </w:r>
    </w:p>
    <w:p w14:paraId="2993C67A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Validación de clientes; disponibilidad de línea; entrenamiento de personal. - Control de gramaje y calidad; coordinación con áreas comerciales.</w:t>
      </w:r>
    </w:p>
    <w:p w14:paraId="2993C67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Producción efectiva de 36.207 kg (SKU 1030881) y 23.018 kg (SKU 1030885); EBITDA ~USD 127.574 y potencial ~USD 825.000 en otras plantas; menor desperdicio.</w:t>
      </w:r>
    </w:p>
    <w:p w14:paraId="2993C67C" w14:textId="77777777" w:rsidR="001B29E2" w:rsidRDefault="00000000">
      <w:r>
        <w:pict w14:anchorId="2993C77B">
          <v:rect id="_x0000_i1055" style="width:0;height:1.5pt" o:hralign="center" o:hrstd="t" o:hr="t"/>
        </w:pict>
      </w:r>
    </w:p>
    <w:p w14:paraId="2993C67D" w14:textId="77777777" w:rsidR="001B29E2" w:rsidRPr="002E5B48" w:rsidRDefault="001D3FBF">
      <w:pPr>
        <w:pStyle w:val="Ttulo1"/>
        <w:rPr>
          <w:lang w:val="es-CL"/>
        </w:rPr>
      </w:pPr>
      <w:bookmarkStart w:id="31" w:name="modelo-de-atención-inteligente-mai"/>
      <w:bookmarkEnd w:id="30"/>
      <w:r w:rsidRPr="002E5B48">
        <w:rPr>
          <w:lang w:val="es-CL"/>
        </w:rPr>
        <w:t>Modelo de atención inteligente (MAI)</w:t>
      </w:r>
    </w:p>
    <w:p w14:paraId="2993C67E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Planificación de atenciones por plataforma en silos, con cruces el mismo día y sin criterio estándar.</w:t>
      </w:r>
    </w:p>
    <w:p w14:paraId="2993C67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Modelo matemático de optimización omnicanal que define cuántas atenciones, cuándo y por qué plataforma, integrado a Gregario.</w:t>
      </w:r>
    </w:p>
    <w:p w14:paraId="2993C680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Restricciones logísticas y de capacidad FDV; calidad de datos. - Adopción por sucursales; calendario cíclico y gobierno del modelo.</w:t>
      </w:r>
    </w:p>
    <w:p w14:paraId="2993C68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Beneficios del proyecto</w:t>
      </w:r>
      <w:r w:rsidRPr="002E5B48">
        <w:rPr>
          <w:lang w:val="es-CL"/>
        </w:rPr>
        <w:t xml:space="preserve"> - +4,1% venta neta; +3,2% volumen; −13% atenciones; cumplimiento del plan +5 pp; 2.448 HHT; EBITDA ~USD 1.034.944.</w:t>
      </w:r>
    </w:p>
    <w:p w14:paraId="2993C682" w14:textId="77777777" w:rsidR="001B29E2" w:rsidRDefault="00000000">
      <w:r>
        <w:pict w14:anchorId="2993C77C">
          <v:rect id="_x0000_i1056" style="width:0;height:1.5pt" o:hralign="center" o:hrstd="t" o:hr="t"/>
        </w:pict>
      </w:r>
    </w:p>
    <w:p w14:paraId="2993C683" w14:textId="77777777" w:rsidR="001B29E2" w:rsidRPr="002E5B48" w:rsidRDefault="001D3FBF">
      <w:pPr>
        <w:pStyle w:val="Ttulo1"/>
        <w:rPr>
          <w:lang w:val="es-CL"/>
        </w:rPr>
      </w:pPr>
      <w:bookmarkStart w:id="32" w:name="ordenemos-la-bodega"/>
      <w:bookmarkEnd w:id="31"/>
      <w:r w:rsidRPr="002E5B48">
        <w:rPr>
          <w:lang w:val="es-CL"/>
        </w:rPr>
        <w:t>Ordenemos la bodega</w:t>
      </w:r>
    </w:p>
    <w:p w14:paraId="2993C684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Recepciones de maquilas, materias primas e insumos medidas de forma manual y distinta por cada área, impidiendo evaluar cumplimiento de proveedores y tomar decisiones a tiempo.</w:t>
      </w:r>
    </w:p>
    <w:p w14:paraId="2993C68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Indicador transversal de cumplimiento de recepción en BW, automático y en línea, con cargas masivas de planes y seguimiento por área (maquilas, MMPP, insumos) en horizontes diario, semanal y mensual.</w:t>
      </w:r>
    </w:p>
    <w:p w14:paraId="2993C686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Gobierno de datos y estandarización de criterios; actualización horaria en BW; adopción de usuarios y gestión del cambio; escalabilidad para nuevos materiales y proveedores.</w:t>
      </w:r>
    </w:p>
    <w:p w14:paraId="2993C68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Mejora de +3% en cumplimiento de recepción; ahorro de tiempo en análisis manual para 7 colaboradores; EBITDA capturado USD 59.713 y promesa USD 137.550.</w:t>
      </w:r>
    </w:p>
    <w:p w14:paraId="2993C688" w14:textId="77777777" w:rsidR="001B29E2" w:rsidRDefault="00000000">
      <w:r>
        <w:pict w14:anchorId="2993C77D">
          <v:rect id="_x0000_i1057" style="width:0;height:1.5pt" o:hralign="center" o:hrstd="t" o:hr="t"/>
        </w:pict>
      </w:r>
    </w:p>
    <w:p w14:paraId="2993C689" w14:textId="77777777" w:rsidR="001B29E2" w:rsidRPr="002E5B48" w:rsidRDefault="001D3FBF">
      <w:pPr>
        <w:pStyle w:val="Ttulo1"/>
        <w:rPr>
          <w:lang w:val="es-CL"/>
        </w:rPr>
      </w:pPr>
      <w:bookmarkStart w:id="33" w:name="tesoro-perdido"/>
      <w:bookmarkEnd w:id="32"/>
      <w:r w:rsidRPr="002E5B48">
        <w:rPr>
          <w:lang w:val="es-CL"/>
        </w:rPr>
        <w:t>Tesoro Perdido</w:t>
      </w:r>
    </w:p>
    <w:p w14:paraId="2993C68A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Recortes como el pilar de diafragma y grasa baby se enviaban a despojo/digestor sin captura de valor.</w:t>
      </w:r>
    </w:p>
    <w:p w14:paraId="2993C68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Homologación técnica y logística para enviar materia prima a plantas que la valorizan en hamburguesas, habilitando flujo entre Rosario, Lo Miranda y San Vicente.</w:t>
      </w:r>
    </w:p>
    <w:p w14:paraId="2993C68C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Asegurar aptitud de proceso, fichas y pruebas industriales; coordinación interplanta; acondicionamiento de embalaje y despacho.</w:t>
      </w:r>
    </w:p>
    <w:p w14:paraId="2993C68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EBITDA ~USD 290.045; reducción del costo de elaboración −63,2%; −1,3 USD/ton en costo; +0,1 pp/mes en rendimiento a la venta.</w:t>
      </w:r>
    </w:p>
    <w:p w14:paraId="2993C68E" w14:textId="77777777" w:rsidR="001B29E2" w:rsidRDefault="00000000">
      <w:r>
        <w:pict w14:anchorId="2993C77E">
          <v:rect id="_x0000_i1058" style="width:0;height:1.5pt" o:hralign="center" o:hrstd="t" o:hr="t"/>
        </w:pict>
      </w:r>
    </w:p>
    <w:p w14:paraId="2993C68F" w14:textId="77777777" w:rsidR="001B29E2" w:rsidRPr="002E5B48" w:rsidRDefault="001D3FBF">
      <w:pPr>
        <w:pStyle w:val="Ttulo1"/>
        <w:rPr>
          <w:lang w:val="es-CL"/>
        </w:rPr>
      </w:pPr>
      <w:bookmarkStart w:id="34" w:name="smart-tracking"/>
      <w:bookmarkEnd w:id="33"/>
      <w:r w:rsidRPr="002E5B48">
        <w:rPr>
          <w:lang w:val="es-CL"/>
        </w:rPr>
        <w:lastRenderedPageBreak/>
        <w:t>Smart Tracking</w:t>
      </w:r>
    </w:p>
    <w:p w14:paraId="2993C690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Seguimiento manual de órdenes marítimas y status de contenedores, con alto demurrage y poco tiempo para gestionar transporte/almacenaje.</w:t>
      </w:r>
    </w:p>
    <w:p w14:paraId="2993C69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Plataforma de tracking de embarques, reportería y flujo de caja asociado; acceso a clientes internos y almacenamiento documental.</w:t>
      </w:r>
    </w:p>
    <w:p w14:paraId="2993C692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Integración futura con SAP; adopción del equipo; cobertura a exportaciones; escalabilidad de funcionalidades.</w:t>
      </w:r>
    </w:p>
    <w:p w14:paraId="2993C69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−27% demurrage proyectado 2025; hasta 89% menos demurrage vs. 2023 a agosto 2024; −25 h/semana; 1.236 HHT; EBITDA ~USD 9.279.</w:t>
      </w:r>
    </w:p>
    <w:p w14:paraId="2993C694" w14:textId="77777777" w:rsidR="001B29E2" w:rsidRDefault="00000000">
      <w:r>
        <w:pict w14:anchorId="2993C77F">
          <v:rect id="_x0000_i1059" style="width:0;height:1.5pt" o:hralign="center" o:hrstd="t" o:hr="t"/>
        </w:pict>
      </w:r>
    </w:p>
    <w:p w14:paraId="2993C695" w14:textId="77777777" w:rsidR="001B29E2" w:rsidRPr="002E5B48" w:rsidRDefault="001D3FBF">
      <w:pPr>
        <w:pStyle w:val="Ttulo1"/>
        <w:rPr>
          <w:lang w:val="es-CL"/>
        </w:rPr>
      </w:pPr>
      <w:bookmarkStart w:id="35" w:name="X6c4bf281fdf779268dae87f36d36b108a673931"/>
      <w:bookmarkEnd w:id="34"/>
      <w:r w:rsidRPr="002E5B48">
        <w:rPr>
          <w:lang w:val="es-CL"/>
        </w:rPr>
        <w:t>Centralización del proceso de Asignación en sucursales</w:t>
      </w:r>
    </w:p>
    <w:p w14:paraId="2993C696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Proceso manual, no estandarizado y por sucursal para asignar pedidos, con criterios variables y baja productividad.</w:t>
      </w:r>
    </w:p>
    <w:p w14:paraId="2993C69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Plataforma integrada, sistemática y centralizada para ejecutar la asignación con gobernanza de criterios y potencial de ejecución local, zonal y central.</w:t>
      </w:r>
    </w:p>
    <w:p w14:paraId="2993C698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Gestión del cambio y habilidades de equipos; despliegue por sucursales; precisión de datos; incorporación de lógicas de rentabilidad.</w:t>
      </w:r>
    </w:p>
    <w:p w14:paraId="2993C69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- 88% del proceso centralizado (23/26 sucursales); productividad administrativa +22%; brecha Fill Rate no asignado con stock −0,7 pp; 14.040 HHT; EBITDA ~USD 2.333.216.</w:t>
      </w:r>
    </w:p>
    <w:p w14:paraId="2993C69A" w14:textId="77777777" w:rsidR="001B29E2" w:rsidRDefault="00000000">
      <w:r>
        <w:pict w14:anchorId="2993C780">
          <v:rect id="_x0000_i1060" style="width:0;height:1.5pt" o:hralign="center" o:hrstd="t" o:hr="t"/>
        </w:pict>
      </w:r>
    </w:p>
    <w:p w14:paraId="2993C69B" w14:textId="77777777" w:rsidR="001B29E2" w:rsidRPr="002E5B48" w:rsidRDefault="001D3FBF">
      <w:pPr>
        <w:pStyle w:val="Ttulo1"/>
        <w:rPr>
          <w:lang w:val="es-CL"/>
        </w:rPr>
      </w:pPr>
      <w:bookmarkStart w:id="36" w:name="disminución-de-merma-en-descongelado"/>
      <w:bookmarkEnd w:id="35"/>
      <w:r w:rsidRPr="002E5B48">
        <w:rPr>
          <w:lang w:val="es-CL"/>
        </w:rPr>
        <w:t>Disminución de merma en descongelado</w:t>
      </w:r>
    </w:p>
    <w:p w14:paraId="2993C69C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Merma del 4% en descongelado de pechuga de pollo por manipulación y control térmico deficientes.</w:t>
      </w:r>
    </w:p>
    <w:p w14:paraId="2993C69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Estandarización del procedimiento de carga y manipulación de bloques; calibración periódica de sensores; cambio de cuchillo y capacitación.</w:t>
      </w:r>
    </w:p>
    <w:p w14:paraId="2993C69E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Variables críticas</w:t>
      </w:r>
      <w:r w:rsidRPr="002E5B48">
        <w:rPr>
          <w:lang w:val="es-CL"/>
        </w:rPr>
        <w:t xml:space="preserve"> - Control de temperatura y registros; disciplina operativa por turno; replicabilidad a otras líneas y plantas.</w:t>
      </w:r>
    </w:p>
    <w:p w14:paraId="2993C69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Merma reducida a 3,2%; ahorro anual estimado reflejado en EBITDA/costos ~USD 35.754; estándar replicable.</w:t>
      </w:r>
    </w:p>
    <w:p w14:paraId="2993C6A0" w14:textId="77777777" w:rsidR="001B29E2" w:rsidRDefault="00000000">
      <w:r>
        <w:pict w14:anchorId="2993C781">
          <v:rect id="_x0000_i1061" style="width:0;height:1.5pt" o:hralign="center" o:hrstd="t" o:hr="t"/>
        </w:pict>
      </w:r>
    </w:p>
    <w:p w14:paraId="2993C6A1" w14:textId="77777777" w:rsidR="001B29E2" w:rsidRPr="002E5B48" w:rsidRDefault="001D3FBF">
      <w:pPr>
        <w:pStyle w:val="Ttulo1"/>
        <w:rPr>
          <w:lang w:val="es-CL"/>
        </w:rPr>
      </w:pPr>
      <w:bookmarkStart w:id="37" w:name="súper-marinado-y-sabor-del-ahorro"/>
      <w:bookmarkEnd w:id="36"/>
      <w:r w:rsidRPr="002E5B48">
        <w:rPr>
          <w:lang w:val="es-CL"/>
        </w:rPr>
        <w:t>Súper Marinado y Sabor del Ahorro</w:t>
      </w:r>
    </w:p>
    <w:p w14:paraId="2993C6A2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El marinado concentra alto gasto en insumos no cárnicos, con oportunidades de ahorro y de ampliar oferta.</w:t>
      </w:r>
    </w:p>
    <w:p w14:paraId="2993C6A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Cambio/habilitación de proveedor manteniendo fórmula; eliminación de preservantes en pollo entero; desarrollo de fórmula propia para congelados; lanzamiento de productos Súper Marinados.</w:t>
      </w:r>
    </w:p>
    <w:p w14:paraId="2993C6A4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Control de retención de marinado; validación de vida útil/calidad; abastecimiento de insumos; ejecución comercial.</w:t>
      </w:r>
    </w:p>
    <w:p w14:paraId="2993C6A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Retención de marinado a 28%; −25% costo de insumos; impacto en rendimiento a la venta +0,45 pp; EBITDA/costos ~USD 1.724.459, con ~USD 576.214 capturados.</w:t>
      </w:r>
    </w:p>
    <w:p w14:paraId="2993C6A6" w14:textId="77777777" w:rsidR="001B29E2" w:rsidRDefault="00000000">
      <w:r>
        <w:pict w14:anchorId="2993C782">
          <v:rect id="_x0000_i1062" style="width:0;height:1.5pt" o:hralign="center" o:hrstd="t" o:hr="t"/>
        </w:pict>
      </w:r>
    </w:p>
    <w:p w14:paraId="2993C6A7" w14:textId="77777777" w:rsidR="001B29E2" w:rsidRPr="002E5B48" w:rsidRDefault="001D3FBF">
      <w:pPr>
        <w:pStyle w:val="Ttulo1"/>
        <w:rPr>
          <w:lang w:val="es-CL"/>
        </w:rPr>
      </w:pPr>
      <w:bookmarkStart w:id="38" w:name="insumos-smart"/>
      <w:bookmarkEnd w:id="37"/>
      <w:r w:rsidRPr="002E5B48">
        <w:rPr>
          <w:lang w:val="es-CL"/>
        </w:rPr>
        <w:t>Insumos Smart</w:t>
      </w:r>
    </w:p>
    <w:p w14:paraId="2993C6A8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Alta incidencia de insumos y embalajes en el costo, con variabilidad de precios que afecta competitividad.</w:t>
      </w:r>
    </w:p>
    <w:p w14:paraId="2993C6A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Reevaluación de films y preservantes; metas de gas disuelto en termosellado; estandarización y nuevos proveedores; protocolos de pruebas industriales.</w:t>
      </w:r>
    </w:p>
    <w:p w14:paraId="2993C6AA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Calidad y desempeño en equipos termoformadores/termoselladores; homologación de preservantes; control de consumo (AGAPAC, films, gas).</w:t>
      </w:r>
    </w:p>
    <w:p w14:paraId="2993C6A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−62% consumo AGAPAC; −85% gasto en preservante; −53% gasto en films; EBITDA/costos ~USD 1.060.045, con ~USD 100.582 capturados.</w:t>
      </w:r>
    </w:p>
    <w:p w14:paraId="2993C6AC" w14:textId="77777777" w:rsidR="001B29E2" w:rsidRDefault="00000000">
      <w:r>
        <w:pict w14:anchorId="2993C783">
          <v:rect id="_x0000_i1063" style="width:0;height:1.5pt" o:hralign="center" o:hrstd="t" o:hr="t"/>
        </w:pict>
      </w:r>
    </w:p>
    <w:p w14:paraId="2993C6AD" w14:textId="77777777" w:rsidR="001B29E2" w:rsidRPr="002E5B48" w:rsidRDefault="001D3FBF">
      <w:pPr>
        <w:pStyle w:val="Ttulo1"/>
        <w:rPr>
          <w:lang w:val="es-CL"/>
        </w:rPr>
      </w:pPr>
      <w:bookmarkStart w:id="39" w:name="calzado-despacho"/>
      <w:bookmarkEnd w:id="38"/>
      <w:r w:rsidRPr="002E5B48">
        <w:rPr>
          <w:lang w:val="es-CL"/>
        </w:rPr>
        <w:lastRenderedPageBreak/>
        <w:t>Calzado Despacho</w:t>
      </w:r>
    </w:p>
    <w:p w14:paraId="2993C6AE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Calzado EPP sin resistencia al agua/temperatura, generando reemplazos frecuentes, riesgos de salud y sobrecostos.</w:t>
      </w:r>
    </w:p>
    <w:p w14:paraId="2993C6A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Implementación de calzado Abzolute Zero con durabilidad mínima de 6 meses; estándar de entrega y charlas de cuidado.</w:t>
      </w:r>
    </w:p>
    <w:p w14:paraId="2993C6B0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Ficha técnica acorde a condiciones; política de reemplazo; replicabilidad en UIP y Desmolde; medición de residuos.</w:t>
      </w:r>
    </w:p>
    <w:p w14:paraId="2993C6B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−47% costo de reemplazo; −1.095 kg de residuo anual; 438 HHT; EBITDA ~USD 6.258; mejora en seguridad y ambiente laboral.</w:t>
      </w:r>
    </w:p>
    <w:p w14:paraId="2993C6B2" w14:textId="77777777" w:rsidR="001B29E2" w:rsidRDefault="00000000">
      <w:r>
        <w:pict w14:anchorId="2993C784">
          <v:rect id="_x0000_i1064" style="width:0;height:1.5pt" o:hralign="center" o:hrstd="t" o:hr="t"/>
        </w:pict>
      </w:r>
    </w:p>
    <w:p w14:paraId="2993C6B3" w14:textId="77777777" w:rsidR="001B29E2" w:rsidRPr="002E5B48" w:rsidRDefault="001D3FBF">
      <w:pPr>
        <w:pStyle w:val="Ttulo1"/>
        <w:rPr>
          <w:lang w:val="es-CL"/>
        </w:rPr>
      </w:pPr>
      <w:bookmarkStart w:id="40" w:name="optimización-prolijado-de-pechuga"/>
      <w:bookmarkEnd w:id="39"/>
      <w:r w:rsidRPr="002E5B48">
        <w:rPr>
          <w:lang w:val="es-CL"/>
        </w:rPr>
        <w:t>Optimización prolijado de pechuga</w:t>
      </w:r>
    </w:p>
    <w:p w14:paraId="2993C6B4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Bajo rendimiento pechuga+filete y alto trimming por cortes manuales y falta de estandarización en líneas de prolijado.</w:t>
      </w:r>
    </w:p>
    <w:p w14:paraId="2993C6B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Estandarización de puestos y proceso; distribución óptima de personal; implementación de cuchillo circular para reducir pérdida.</w:t>
      </w:r>
    </w:p>
    <w:p w14:paraId="2993C6B6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Entrenamiento en uso de whizard y cuchillo circular; control de rendimientos; documentación de procedimientos.</w:t>
      </w:r>
    </w:p>
    <w:p w14:paraId="2993C6B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Rendimiento pechuga+filete 78,44% (+1,57 pp vs. 2023) y trimming 3,08% (−0,54 pp); −6 FTE; 12.480 HHT; EBITDA ~USD 964.679.</w:t>
      </w:r>
    </w:p>
    <w:p w14:paraId="2993C6B8" w14:textId="77777777" w:rsidR="001B29E2" w:rsidRDefault="00000000">
      <w:r>
        <w:pict w14:anchorId="2993C785">
          <v:rect id="_x0000_i1065" style="width:0;height:1.5pt" o:hralign="center" o:hrstd="t" o:hr="t"/>
        </w:pict>
      </w:r>
    </w:p>
    <w:p w14:paraId="2993C6B9" w14:textId="77777777" w:rsidR="001B29E2" w:rsidRPr="002E5B48" w:rsidRDefault="001D3FBF">
      <w:pPr>
        <w:pStyle w:val="Ttulo1"/>
        <w:rPr>
          <w:lang w:val="es-CL"/>
        </w:rPr>
      </w:pPr>
      <w:bookmarkStart w:id="41" w:name="rfid-a-la-moda"/>
      <w:bookmarkEnd w:id="40"/>
      <w:r w:rsidRPr="002E5B48">
        <w:rPr>
          <w:lang w:val="es-CL"/>
        </w:rPr>
        <w:t>RFID a la moda</w:t>
      </w:r>
    </w:p>
    <w:p w14:paraId="2993C6BA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Pérdida y deterioro de ropa de trabajo por falta de trazabilidad, con sobrecostos y filas para entrega.</w:t>
      </w:r>
    </w:p>
    <w:p w14:paraId="2993C6B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Trazabilidad de prendas con RFID desde guardarropía hasta lavado; inventarios automáticos y reportería de gestión.</w:t>
      </w:r>
    </w:p>
    <w:p w14:paraId="2993C6BC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Conectividad y espacio para cabina; capacitación en uso de pistolas; integración y escalabilidad a otras plantas y bodegas.</w:t>
      </w:r>
    </w:p>
    <w:p w14:paraId="2993C6B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Vida útil extendida de 6 a 12 meses; eliminación de sobrecostos anuales por compras extra; disponibilización de 3 FTE; ahorros en inventarios; EBITDA ~USD 231.754.</w:t>
      </w:r>
    </w:p>
    <w:p w14:paraId="2993C6BE" w14:textId="77777777" w:rsidR="001B29E2" w:rsidRDefault="00000000">
      <w:r>
        <w:lastRenderedPageBreak/>
        <w:pict w14:anchorId="2993C786">
          <v:rect id="_x0000_i1066" style="width:0;height:1.5pt" o:hralign="center" o:hrstd="t" o:hr="t"/>
        </w:pict>
      </w:r>
    </w:p>
    <w:p w14:paraId="2993C6BF" w14:textId="77777777" w:rsidR="001B29E2" w:rsidRPr="002E5B48" w:rsidRDefault="001D3FBF">
      <w:pPr>
        <w:pStyle w:val="Ttulo1"/>
        <w:rPr>
          <w:lang w:val="es-CL"/>
        </w:rPr>
      </w:pPr>
      <w:bookmarkStart w:id="42" w:name="mini-pallets"/>
      <w:bookmarkEnd w:id="41"/>
      <w:r w:rsidRPr="002E5B48">
        <w:rPr>
          <w:lang w:val="es-CL"/>
        </w:rPr>
        <w:t>Mini Pallets</w:t>
      </w:r>
    </w:p>
    <w:p w14:paraId="2993C6C0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Pallets estándar 120×100 cm dejan 0,66 m² sin usar en contenedores de exportación, bajando el peso promedio por contenedor y subiendo costos logísticos.</w:t>
      </w:r>
    </w:p>
    <w:p w14:paraId="2993C6C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Cambio de metodología de carga y diseño de </w:t>
      </w:r>
      <w:r w:rsidRPr="002E5B48">
        <w:rPr>
          <w:b/>
          <w:bCs/>
          <w:lang w:val="es-CL"/>
        </w:rPr>
        <w:t>mini pallet 120×80 cm</w:t>
      </w:r>
      <w:r w:rsidRPr="002E5B48">
        <w:rPr>
          <w:lang w:val="es-CL"/>
        </w:rPr>
        <w:t xml:space="preserve"> para utilizar el 100% del contenedor.</w:t>
      </w:r>
    </w:p>
    <w:p w14:paraId="2993C6C2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Integración con equipos rodantes actuales; estandarización en todas las plantas; coordinación con proveedor de pallets; seguridad en carga.</w:t>
      </w:r>
    </w:p>
    <w:p w14:paraId="2993C6C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+800 kg por contenedor, +5% de peso promedio (21.489 → 22.271 kg); ahorro logístico medio USD 231 por mini pallet; </w:t>
      </w:r>
      <w:r w:rsidRPr="002E5B48">
        <w:rPr>
          <w:b/>
          <w:bCs/>
          <w:lang w:val="es-CL"/>
        </w:rPr>
        <w:t>EBITDA ~USD 631.685</w:t>
      </w:r>
      <w:r w:rsidRPr="002E5B48">
        <w:rPr>
          <w:lang w:val="es-CL"/>
        </w:rPr>
        <w:t>; 3.118 contenedores ya despachados con mini pallet.</w:t>
      </w:r>
    </w:p>
    <w:p w14:paraId="2993C6C4" w14:textId="77777777" w:rsidR="001B29E2" w:rsidRDefault="00000000">
      <w:r>
        <w:pict w14:anchorId="2993C787">
          <v:rect id="_x0000_i1067" style="width:0;height:1.5pt" o:hralign="center" o:hrstd="t" o:hr="t"/>
        </w:pict>
      </w:r>
    </w:p>
    <w:p w14:paraId="2993C6C5" w14:textId="77777777" w:rsidR="001B29E2" w:rsidRPr="002E5B48" w:rsidRDefault="001D3FBF">
      <w:pPr>
        <w:pStyle w:val="Ttulo1"/>
        <w:rPr>
          <w:lang w:val="es-CL"/>
        </w:rPr>
      </w:pPr>
      <w:bookmarkStart w:id="43" w:name="sello-de-liderazgo"/>
      <w:bookmarkEnd w:id="42"/>
      <w:r w:rsidRPr="002E5B48">
        <w:rPr>
          <w:lang w:val="es-CL"/>
        </w:rPr>
        <w:t>Sello de Liderazgo</w:t>
      </w:r>
    </w:p>
    <w:p w14:paraId="2993C6C6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Desalineación en el ejercicio del liderazgo impactando ambientes laborales, experiencia del colaborador, movilidad y tasa de egresos.</w:t>
      </w:r>
    </w:p>
    <w:p w14:paraId="2993C6C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Marco explícito de roles, comportamientos y prácticas esperado para líderes, integrado a procesos de personas y comunicación.</w:t>
      </w:r>
    </w:p>
    <w:p w14:paraId="2993C6C8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Adopción por todos los líderes; integración con desempeño, talento y formación; medición continua de indicadores culturales.</w:t>
      </w:r>
    </w:p>
    <w:p w14:paraId="2993C6C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Experiencia del colaborador </w:t>
      </w:r>
      <w:r w:rsidRPr="002E5B48">
        <w:rPr>
          <w:b/>
          <w:bCs/>
          <w:lang w:val="es-CL"/>
        </w:rPr>
        <w:t>+13 pt</w:t>
      </w:r>
      <w:r w:rsidRPr="002E5B48">
        <w:rPr>
          <w:lang w:val="es-CL"/>
        </w:rPr>
        <w:t xml:space="preserve"> (57 en 2024), Ambientes Laborales </w:t>
      </w:r>
      <w:r w:rsidRPr="002E5B48">
        <w:rPr>
          <w:b/>
          <w:bCs/>
          <w:lang w:val="es-CL"/>
        </w:rPr>
        <w:t>+3 pt</w:t>
      </w:r>
      <w:r w:rsidRPr="002E5B48">
        <w:rPr>
          <w:lang w:val="es-CL"/>
        </w:rPr>
        <w:t xml:space="preserve"> (84% 2024), Movilidad Interna </w:t>
      </w:r>
      <w:r w:rsidRPr="002E5B48">
        <w:rPr>
          <w:b/>
          <w:bCs/>
          <w:lang w:val="es-CL"/>
        </w:rPr>
        <w:t>+7 pt</w:t>
      </w:r>
      <w:r w:rsidRPr="002E5B48">
        <w:rPr>
          <w:lang w:val="es-CL"/>
        </w:rPr>
        <w:t xml:space="preserve"> (60% 2024) y tasa de egresos </w:t>
      </w:r>
      <w:r w:rsidRPr="002E5B48">
        <w:rPr>
          <w:b/>
          <w:bCs/>
          <w:lang w:val="es-CL"/>
        </w:rPr>
        <w:t>−4,3 pt</w:t>
      </w:r>
      <w:r w:rsidRPr="002E5B48">
        <w:rPr>
          <w:lang w:val="es-CL"/>
        </w:rPr>
        <w:t xml:space="preserve"> (17,2% 2024).</w:t>
      </w:r>
    </w:p>
    <w:p w14:paraId="2993C6CA" w14:textId="77777777" w:rsidR="001B29E2" w:rsidRDefault="00000000">
      <w:r>
        <w:pict w14:anchorId="2993C788">
          <v:rect id="_x0000_i1068" style="width:0;height:1.5pt" o:hralign="center" o:hrstd="t" o:hr="t"/>
        </w:pict>
      </w:r>
    </w:p>
    <w:p w14:paraId="2993C6CB" w14:textId="77777777" w:rsidR="001B29E2" w:rsidRPr="002E5B48" w:rsidRDefault="001D3FBF">
      <w:pPr>
        <w:pStyle w:val="Ttulo1"/>
        <w:rPr>
          <w:lang w:val="es-CL"/>
        </w:rPr>
      </w:pPr>
      <w:bookmarkStart w:id="44" w:name="medida-precisa"/>
      <w:bookmarkEnd w:id="43"/>
      <w:r w:rsidRPr="002E5B48">
        <w:rPr>
          <w:lang w:val="es-CL"/>
        </w:rPr>
        <w:t>Medida Precisa</w:t>
      </w:r>
    </w:p>
    <w:p w14:paraId="2993C6CC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Ajustes 100% manuales en rodillos de molinos al cambiar alimento, con granulometría fuera de objetivo y peor conversión.</w:t>
      </w:r>
    </w:p>
    <w:p w14:paraId="2993C6C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Automatización con </w:t>
      </w:r>
      <w:r w:rsidRPr="002E5B48">
        <w:rPr>
          <w:b/>
          <w:bCs/>
          <w:lang w:val="es-CL"/>
        </w:rPr>
        <w:t>servomotores</w:t>
      </w:r>
      <w:r w:rsidRPr="002E5B48">
        <w:rPr>
          <w:lang w:val="es-CL"/>
        </w:rPr>
        <w:t xml:space="preserve"> para ajuste milimétrico y confiable de granulometría según especie.</w:t>
      </w:r>
    </w:p>
    <w:p w14:paraId="2993C6CE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Variables críticas</w:t>
      </w:r>
      <w:r w:rsidRPr="002E5B48">
        <w:rPr>
          <w:lang w:val="es-CL"/>
        </w:rPr>
        <w:t xml:space="preserve"> - Calibración por micras; estabilidad de control; escalamiento a molinos y quebrantadores de múltiples plantas; capacitación de operadores.</w:t>
      </w:r>
    </w:p>
    <w:p w14:paraId="2993C6C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Mejor conversión objetivo </w:t>
      </w:r>
      <w:r w:rsidRPr="002E5B48">
        <w:rPr>
          <w:b/>
          <w:bCs/>
          <w:lang w:val="es-CL"/>
        </w:rPr>
        <w:t>+1%</w:t>
      </w:r>
      <w:r w:rsidRPr="002E5B48">
        <w:rPr>
          <w:lang w:val="es-CL"/>
        </w:rPr>
        <w:t xml:space="preserve">; menos residuos en granja; menos viajes de alimento; </w:t>
      </w:r>
      <w:r w:rsidRPr="002E5B48">
        <w:rPr>
          <w:b/>
          <w:bCs/>
          <w:lang w:val="es-CL"/>
        </w:rPr>
        <w:t>EBITDA ~USD 817.719</w:t>
      </w:r>
      <w:r w:rsidRPr="002E5B48">
        <w:rPr>
          <w:lang w:val="es-CL"/>
        </w:rPr>
        <w:t xml:space="preserve">; </w:t>
      </w:r>
      <w:r w:rsidRPr="002E5B48">
        <w:rPr>
          <w:b/>
          <w:bCs/>
          <w:lang w:val="es-CL"/>
        </w:rPr>
        <w:t>1.044 HHT</w:t>
      </w:r>
      <w:r w:rsidRPr="002E5B48">
        <w:rPr>
          <w:lang w:val="es-CL"/>
        </w:rPr>
        <w:t xml:space="preserve"> liberadas.</w:t>
      </w:r>
    </w:p>
    <w:p w14:paraId="2993C6D0" w14:textId="77777777" w:rsidR="001B29E2" w:rsidRDefault="00000000">
      <w:r>
        <w:pict w14:anchorId="2993C789">
          <v:rect id="_x0000_i1069" style="width:0;height:1.5pt" o:hralign="center" o:hrstd="t" o:hr="t"/>
        </w:pict>
      </w:r>
    </w:p>
    <w:p w14:paraId="2993C6D1" w14:textId="77777777" w:rsidR="001B29E2" w:rsidRPr="002E5B48" w:rsidRDefault="001D3FBF">
      <w:pPr>
        <w:pStyle w:val="Ttulo1"/>
        <w:rPr>
          <w:lang w:val="es-CL"/>
        </w:rPr>
      </w:pPr>
      <w:bookmarkStart w:id="45" w:name="longaniza-mecánica"/>
      <w:bookmarkEnd w:id="44"/>
      <w:r w:rsidRPr="002E5B48">
        <w:rPr>
          <w:lang w:val="es-CL"/>
        </w:rPr>
        <w:t>Longaniza mecánica</w:t>
      </w:r>
    </w:p>
    <w:p w14:paraId="2993C6D2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Línea con procesos manuales, tiempos muertos y dolencias musculoesqueléticas; alta merma en corte manual.</w:t>
      </w:r>
    </w:p>
    <w:p w14:paraId="2993C6D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Integración de maquinaria especializada y rediseño de flujo “hecho en casa” para corte y envasado más continuo.</w:t>
      </w:r>
    </w:p>
    <w:p w14:paraId="2993C6D4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Ajuste de equipos; entrenamiento y seguridad; mantenimiento y soporte proveedor; gestión del cambio en dotación.</w:t>
      </w:r>
    </w:p>
    <w:p w14:paraId="2993C6D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</w:t>
      </w:r>
      <w:r w:rsidRPr="002E5B48">
        <w:rPr>
          <w:b/>
          <w:bCs/>
          <w:lang w:val="es-CL"/>
        </w:rPr>
        <w:t>Productividad +16,6%</w:t>
      </w:r>
      <w:r w:rsidRPr="002E5B48">
        <w:rPr>
          <w:lang w:val="es-CL"/>
        </w:rPr>
        <w:t xml:space="preserve">, </w:t>
      </w:r>
      <w:r w:rsidRPr="002E5B48">
        <w:rPr>
          <w:b/>
          <w:bCs/>
          <w:lang w:val="es-CL"/>
        </w:rPr>
        <w:t>merma −63,6%</w:t>
      </w:r>
      <w:r w:rsidRPr="002E5B48">
        <w:rPr>
          <w:lang w:val="es-CL"/>
        </w:rPr>
        <w:t xml:space="preserve">, </w:t>
      </w:r>
      <w:r w:rsidRPr="002E5B48">
        <w:rPr>
          <w:b/>
          <w:bCs/>
          <w:lang w:val="es-CL"/>
        </w:rPr>
        <w:t>32,9 t/año</w:t>
      </w:r>
      <w:r w:rsidRPr="002E5B48">
        <w:rPr>
          <w:lang w:val="es-CL"/>
        </w:rPr>
        <w:t xml:space="preserve"> adicionales; dotación 18→15; </w:t>
      </w:r>
      <w:r w:rsidRPr="002E5B48">
        <w:rPr>
          <w:b/>
          <w:bCs/>
          <w:lang w:val="es-CL"/>
        </w:rPr>
        <w:t>EBITDA ~USD 323.441</w:t>
      </w:r>
      <w:r w:rsidRPr="002E5B48">
        <w:rPr>
          <w:lang w:val="es-CL"/>
        </w:rPr>
        <w:t>; inversión ~USD 60.000.</w:t>
      </w:r>
    </w:p>
    <w:p w14:paraId="2993C6D6" w14:textId="77777777" w:rsidR="001B29E2" w:rsidRDefault="00000000">
      <w:r>
        <w:pict w14:anchorId="2993C78A">
          <v:rect id="_x0000_i1070" style="width:0;height:1.5pt" o:hralign="center" o:hrstd="t" o:hr="t"/>
        </w:pict>
      </w:r>
    </w:p>
    <w:p w14:paraId="2993C6D7" w14:textId="77777777" w:rsidR="001B29E2" w:rsidRPr="002E5B48" w:rsidRDefault="001D3FBF">
      <w:pPr>
        <w:pStyle w:val="Ttulo1"/>
        <w:rPr>
          <w:lang w:val="es-CL"/>
        </w:rPr>
      </w:pPr>
      <w:bookmarkStart w:id="46" w:name="reproductoras-con-valor"/>
      <w:bookmarkEnd w:id="45"/>
      <w:r w:rsidRPr="002E5B48">
        <w:rPr>
          <w:lang w:val="es-CL"/>
        </w:rPr>
        <w:t>Reproductoras con valor</w:t>
      </w:r>
    </w:p>
    <w:p w14:paraId="2993C6D8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Venta concentrada en pocos clientes, vida útil corta y descartes; no exportable en hembras.</w:t>
      </w:r>
    </w:p>
    <w:p w14:paraId="2993C6D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Portafolio de cortes y formatos congelados de larga vida útil, con desarrollo comercial en sucursales y mejoras de desposte.</w:t>
      </w:r>
    </w:p>
    <w:p w14:paraId="2993C6DA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Capacitación FDV; atributos y tamaño por canal; desarrollo de productos con hueso y marinados; gobierno de precios.</w:t>
      </w:r>
    </w:p>
    <w:p w14:paraId="2993C6D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Clientes </w:t>
      </w:r>
      <w:r w:rsidRPr="002E5B48">
        <w:rPr>
          <w:b/>
          <w:bCs/>
          <w:lang w:val="es-CL"/>
        </w:rPr>
        <w:t>×11</w:t>
      </w:r>
      <w:r w:rsidRPr="002E5B48">
        <w:rPr>
          <w:lang w:val="es-CL"/>
        </w:rPr>
        <w:t xml:space="preserve">, precios </w:t>
      </w:r>
      <w:r w:rsidRPr="002E5B48">
        <w:rPr>
          <w:b/>
          <w:bCs/>
          <w:lang w:val="es-CL"/>
        </w:rPr>
        <w:t>+49,2%</w:t>
      </w:r>
      <w:r w:rsidRPr="002E5B48">
        <w:rPr>
          <w:lang w:val="es-CL"/>
        </w:rPr>
        <w:t xml:space="preserve">, ingresos mar→ago </w:t>
      </w:r>
      <w:r w:rsidRPr="002E5B48">
        <w:rPr>
          <w:b/>
          <w:bCs/>
          <w:lang w:val="es-CL"/>
        </w:rPr>
        <w:t>~USD 1,2 MM</w:t>
      </w:r>
      <w:r w:rsidRPr="002E5B48">
        <w:rPr>
          <w:lang w:val="es-CL"/>
        </w:rPr>
        <w:t xml:space="preserve">, vida útil de </w:t>
      </w:r>
      <w:r w:rsidRPr="002E5B48">
        <w:rPr>
          <w:b/>
          <w:bCs/>
          <w:lang w:val="es-CL"/>
        </w:rPr>
        <w:t>7 días a 2 años</w:t>
      </w:r>
      <w:r w:rsidRPr="002E5B48">
        <w:rPr>
          <w:lang w:val="es-CL"/>
        </w:rPr>
        <w:t xml:space="preserve">; </w:t>
      </w:r>
      <w:r w:rsidRPr="002E5B48">
        <w:rPr>
          <w:b/>
          <w:bCs/>
          <w:lang w:val="es-CL"/>
        </w:rPr>
        <w:t>EBITDA ~USD 2.428.467</w:t>
      </w:r>
      <w:r w:rsidRPr="002E5B48">
        <w:rPr>
          <w:lang w:val="es-CL"/>
        </w:rPr>
        <w:t>.</w:t>
      </w:r>
    </w:p>
    <w:p w14:paraId="2993C6DC" w14:textId="77777777" w:rsidR="001B29E2" w:rsidRDefault="00000000">
      <w:r>
        <w:pict w14:anchorId="2993C78B">
          <v:rect id="_x0000_i1071" style="width:0;height:1.5pt" o:hralign="center" o:hrstd="t" o:hr="t"/>
        </w:pict>
      </w:r>
    </w:p>
    <w:p w14:paraId="2993C6DD" w14:textId="77777777" w:rsidR="001B29E2" w:rsidRPr="002E5B48" w:rsidRDefault="001D3FBF">
      <w:pPr>
        <w:pStyle w:val="Ttulo1"/>
        <w:rPr>
          <w:lang w:val="es-CL"/>
        </w:rPr>
      </w:pPr>
      <w:bookmarkStart w:id="47" w:name="X96b6df3c38c1cf0b9627b8f28f12a9a8c012176"/>
      <w:bookmarkEnd w:id="46"/>
      <w:r w:rsidRPr="002E5B48">
        <w:rPr>
          <w:lang w:val="es-CL"/>
        </w:rPr>
        <w:t>Cotalker (Gestión de Mantenimiento Producción Animal)</w:t>
      </w:r>
    </w:p>
    <w:p w14:paraId="2993C6DE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Registro y análisis de mantenciones dispersos, poca trazabilidad y alto gasto en correctivas.</w:t>
      </w:r>
    </w:p>
    <w:p w14:paraId="2993C6D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Solución creativa o innovadora</w:t>
      </w:r>
      <w:r w:rsidRPr="002E5B48">
        <w:rPr>
          <w:lang w:val="es-CL"/>
        </w:rPr>
        <w:t xml:space="preserve"> - App de gestión de mantención con solicitudes estandarizadas, aprobaciones y base de datos analítica; integración planificada con SAP.</w:t>
      </w:r>
    </w:p>
    <w:p w14:paraId="2993C6E0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Adopción en planteles (implementación </w:t>
      </w:r>
      <w:r w:rsidRPr="002E5B48">
        <w:rPr>
          <w:b/>
          <w:bCs/>
          <w:lang w:val="es-CL"/>
        </w:rPr>
        <w:t>95%</w:t>
      </w:r>
      <w:r w:rsidRPr="002E5B48">
        <w:rPr>
          <w:lang w:val="es-CL"/>
        </w:rPr>
        <w:t xml:space="preserve"> Cerdos+Pollos); calidad de datos; roadmap de integraciones.</w:t>
      </w:r>
    </w:p>
    <w:p w14:paraId="2993C6E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</w:t>
      </w:r>
      <w:r w:rsidRPr="002E5B48">
        <w:rPr>
          <w:b/>
          <w:bCs/>
          <w:lang w:val="es-CL"/>
        </w:rPr>
        <w:t>3.208 HHT</w:t>
      </w:r>
      <w:r w:rsidRPr="002E5B48">
        <w:rPr>
          <w:lang w:val="es-CL"/>
        </w:rPr>
        <w:t xml:space="preserve">; reducción de correctivas </w:t>
      </w:r>
      <w:r w:rsidRPr="002E5B48">
        <w:rPr>
          <w:b/>
          <w:bCs/>
          <w:lang w:val="es-CL"/>
        </w:rPr>
        <w:t>−1,22%</w:t>
      </w:r>
      <w:r w:rsidRPr="002E5B48">
        <w:rPr>
          <w:lang w:val="es-CL"/>
        </w:rPr>
        <w:t xml:space="preserve"> (942 atenciones externas); </w:t>
      </w:r>
      <w:r w:rsidRPr="002E5B48">
        <w:rPr>
          <w:b/>
          <w:bCs/>
          <w:lang w:val="es-CL"/>
        </w:rPr>
        <w:t>EBITDA proyectado 2024 ~USD 185.311</w:t>
      </w:r>
      <w:r w:rsidRPr="002E5B48">
        <w:rPr>
          <w:lang w:val="es-CL"/>
        </w:rPr>
        <w:t>.</w:t>
      </w:r>
    </w:p>
    <w:p w14:paraId="2993C6E2" w14:textId="77777777" w:rsidR="001B29E2" w:rsidRDefault="00000000">
      <w:r>
        <w:pict w14:anchorId="2993C78C">
          <v:rect id="_x0000_i1072" style="width:0;height:1.5pt" o:hralign="center" o:hrstd="t" o:hr="t"/>
        </w:pict>
      </w:r>
    </w:p>
    <w:p w14:paraId="2993C6E3" w14:textId="77777777" w:rsidR="001B29E2" w:rsidRPr="002E5B48" w:rsidRDefault="001D3FBF">
      <w:pPr>
        <w:pStyle w:val="Ttulo1"/>
        <w:rPr>
          <w:lang w:val="es-CL"/>
        </w:rPr>
      </w:pPr>
      <w:bookmarkStart w:id="48" w:name="pillado-automático"/>
      <w:bookmarkEnd w:id="47"/>
      <w:r w:rsidRPr="002E5B48">
        <w:rPr>
          <w:lang w:val="es-CL"/>
        </w:rPr>
        <w:t>Pillado automático</w:t>
      </w:r>
    </w:p>
    <w:p w14:paraId="2993C6E4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Pillado 100% manual con costos altos, riesgos de continuidad y necesidad de crecer volumen.</w:t>
      </w:r>
    </w:p>
    <w:p w14:paraId="2993C6E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Implementación de 2 máquinas de pillado automático en zona centro; operación con 6 personas vs 9 de cuadrilla manual; plan de escalamiento 2025–2026.</w:t>
      </w:r>
    </w:p>
    <w:p w14:paraId="2993C6E6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Inversión en máquinas y pabellones; parámetros de terreno; bienestar animal; formación de operadores; continuidad nocturna.</w:t>
      </w:r>
    </w:p>
    <w:p w14:paraId="2993C6E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Ahorro </w:t>
      </w:r>
      <w:r w:rsidRPr="002E5B48">
        <w:rPr>
          <w:b/>
          <w:bCs/>
          <w:lang w:val="es-CL"/>
        </w:rPr>
        <w:t>4,88 USD/ton</w:t>
      </w:r>
      <w:r w:rsidRPr="002E5B48">
        <w:rPr>
          <w:lang w:val="es-CL"/>
        </w:rPr>
        <w:t xml:space="preserve">; costo por kilo </w:t>
      </w:r>
      <w:r w:rsidRPr="002E5B48">
        <w:rPr>
          <w:b/>
          <w:bCs/>
          <w:lang w:val="es-CL"/>
        </w:rPr>
        <w:t>13,66 → 8,78 USD/ton</w:t>
      </w:r>
      <w:r w:rsidRPr="002E5B48">
        <w:rPr>
          <w:lang w:val="es-CL"/>
        </w:rPr>
        <w:t xml:space="preserve">; </w:t>
      </w:r>
      <w:r w:rsidRPr="002E5B48">
        <w:rPr>
          <w:b/>
          <w:bCs/>
          <w:lang w:val="es-CL"/>
        </w:rPr>
        <w:t>6.864 HHT</w:t>
      </w:r>
      <w:r w:rsidRPr="002E5B48">
        <w:rPr>
          <w:lang w:val="es-CL"/>
        </w:rPr>
        <w:t xml:space="preserve">; </w:t>
      </w:r>
      <w:r w:rsidRPr="002E5B48">
        <w:rPr>
          <w:b/>
          <w:bCs/>
          <w:lang w:val="es-CL"/>
        </w:rPr>
        <w:t>EBITDA real 2024 ~USD 25.158</w:t>
      </w:r>
      <w:r w:rsidRPr="002E5B48">
        <w:rPr>
          <w:lang w:val="es-CL"/>
        </w:rPr>
        <w:t xml:space="preserve">, </w:t>
      </w:r>
      <w:r w:rsidRPr="002E5B48">
        <w:rPr>
          <w:b/>
          <w:bCs/>
          <w:lang w:val="es-CL"/>
        </w:rPr>
        <w:t>proyectado 2025 ~2,798 MUSD</w:t>
      </w:r>
      <w:r w:rsidRPr="002E5B48">
        <w:rPr>
          <w:lang w:val="es-CL"/>
        </w:rPr>
        <w:t>.</w:t>
      </w:r>
    </w:p>
    <w:p w14:paraId="2993C6E8" w14:textId="77777777" w:rsidR="001B29E2" w:rsidRDefault="00000000">
      <w:r>
        <w:pict w14:anchorId="2993C78D">
          <v:rect id="_x0000_i1073" style="width:0;height:1.5pt" o:hralign="center" o:hrstd="t" o:hr="t"/>
        </w:pict>
      </w:r>
    </w:p>
    <w:p w14:paraId="2993C6E9" w14:textId="77777777" w:rsidR="001B29E2" w:rsidRPr="002E5B48" w:rsidRDefault="001D3FBF">
      <w:pPr>
        <w:pStyle w:val="Ttulo1"/>
        <w:rPr>
          <w:lang w:val="es-CL"/>
        </w:rPr>
      </w:pPr>
      <w:bookmarkStart w:id="49" w:name="más-costilla-para-tu-parrilla"/>
      <w:bookmarkEnd w:id="48"/>
      <w:r w:rsidRPr="002E5B48">
        <w:rPr>
          <w:lang w:val="es-CL"/>
        </w:rPr>
        <w:t>Más costilla para tu parrilla</w:t>
      </w:r>
    </w:p>
    <w:p w14:paraId="2993C6EA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Extracción manual con baja ergonomía, dotación limitada y carne remanente en quilla; rendimiento histórico 2,80% (2022).</w:t>
      </w:r>
    </w:p>
    <w:p w14:paraId="2993C6E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Sistema de </w:t>
      </w:r>
      <w:r w:rsidRPr="002E5B48">
        <w:rPr>
          <w:b/>
          <w:bCs/>
          <w:lang w:val="es-CL"/>
        </w:rPr>
        <w:t>desgarro semi automático</w:t>
      </w:r>
      <w:r w:rsidRPr="002E5B48">
        <w:rPr>
          <w:lang w:val="es-CL"/>
        </w:rPr>
        <w:t xml:space="preserve"> en dos etapas: incisión bilateral y separación asistida de costilla.</w:t>
      </w:r>
    </w:p>
    <w:p w14:paraId="2993C6EC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Ajuste fino del dispositivo; prevención de choques entre partes; seguridad; replicabilidad a líneas similares.</w:t>
      </w:r>
    </w:p>
    <w:p w14:paraId="2993C6E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</w:t>
      </w:r>
      <w:r w:rsidRPr="002E5B48">
        <w:rPr>
          <w:b/>
          <w:bCs/>
          <w:lang w:val="es-CL"/>
        </w:rPr>
        <w:t>+0,52 pp</w:t>
      </w:r>
      <w:r w:rsidRPr="002E5B48">
        <w:rPr>
          <w:lang w:val="es-CL"/>
        </w:rPr>
        <w:t xml:space="preserve"> de rendimiento de costilla a </w:t>
      </w:r>
      <w:r w:rsidRPr="002E5B48">
        <w:rPr>
          <w:b/>
          <w:bCs/>
          <w:lang w:val="es-CL"/>
        </w:rPr>
        <w:t>3,32%</w:t>
      </w:r>
      <w:r w:rsidRPr="002E5B48">
        <w:rPr>
          <w:lang w:val="es-CL"/>
        </w:rPr>
        <w:t xml:space="preserve"> (2024), </w:t>
      </w:r>
      <w:r w:rsidRPr="002E5B48">
        <w:rPr>
          <w:b/>
          <w:bCs/>
          <w:lang w:val="es-CL"/>
        </w:rPr>
        <w:t>+50%</w:t>
      </w:r>
      <w:r w:rsidRPr="002E5B48">
        <w:rPr>
          <w:lang w:val="es-CL"/>
        </w:rPr>
        <w:t xml:space="preserve"> productividad, </w:t>
      </w:r>
      <w:r w:rsidRPr="002E5B48">
        <w:rPr>
          <w:b/>
          <w:bCs/>
          <w:lang w:val="es-CL"/>
        </w:rPr>
        <w:t>−2 FTE</w:t>
      </w:r>
      <w:r w:rsidRPr="002E5B48">
        <w:rPr>
          <w:lang w:val="es-CL"/>
        </w:rPr>
        <w:t xml:space="preserve"> (</w:t>
      </w:r>
      <w:r w:rsidRPr="002E5B48">
        <w:rPr>
          <w:b/>
          <w:bCs/>
          <w:lang w:val="es-CL"/>
        </w:rPr>
        <w:t>3.792 HHT</w:t>
      </w:r>
      <w:r w:rsidRPr="002E5B48">
        <w:rPr>
          <w:lang w:val="es-CL"/>
        </w:rPr>
        <w:t xml:space="preserve">); </w:t>
      </w:r>
      <w:r w:rsidRPr="002E5B48">
        <w:rPr>
          <w:b/>
          <w:bCs/>
          <w:lang w:val="es-CL"/>
        </w:rPr>
        <w:t>EBITDA ~USD 280.411</w:t>
      </w:r>
      <w:r w:rsidRPr="002E5B48">
        <w:rPr>
          <w:lang w:val="es-CL"/>
        </w:rPr>
        <w:t>.</w:t>
      </w:r>
    </w:p>
    <w:p w14:paraId="2993C6EE" w14:textId="77777777" w:rsidR="001B29E2" w:rsidRDefault="00000000">
      <w:r>
        <w:pict w14:anchorId="2993C78E">
          <v:rect id="_x0000_i1074" style="width:0;height:1.5pt" o:hralign="center" o:hrstd="t" o:hr="t"/>
        </w:pict>
      </w:r>
    </w:p>
    <w:p w14:paraId="2993C6EF" w14:textId="77777777" w:rsidR="001B29E2" w:rsidRPr="002E5B48" w:rsidRDefault="001D3FBF">
      <w:pPr>
        <w:pStyle w:val="Ttulo1"/>
        <w:rPr>
          <w:lang w:val="es-CL"/>
        </w:rPr>
      </w:pPr>
      <w:bookmarkStart w:id="50" w:name="anaquel-plus"/>
      <w:bookmarkEnd w:id="49"/>
      <w:r w:rsidRPr="002E5B48">
        <w:rPr>
          <w:lang w:val="es-CL"/>
        </w:rPr>
        <w:lastRenderedPageBreak/>
        <w:t>Anaquel Plus</w:t>
      </w:r>
    </w:p>
    <w:p w14:paraId="2993C6F0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Vida útil corta en cecinas de alto volumen, con desperdicios y menor competitividad.</w:t>
      </w:r>
    </w:p>
    <w:p w14:paraId="2993C6F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Cambio de preservante, refuerzo de aseos y estudios microbiológicos/metagenómica; control sensorial.</w:t>
      </w:r>
    </w:p>
    <w:p w14:paraId="2993C6F2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Validación de vida útil y normativa; abastecimiento de preservante; escalado a más SKU y plantas.</w:t>
      </w:r>
    </w:p>
    <w:p w14:paraId="2993C6F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</w:t>
      </w:r>
      <w:r w:rsidRPr="002E5B48">
        <w:rPr>
          <w:b/>
          <w:bCs/>
          <w:lang w:val="es-CL"/>
        </w:rPr>
        <w:t>+25%</w:t>
      </w:r>
      <w:r w:rsidRPr="002E5B48">
        <w:rPr>
          <w:lang w:val="es-CL"/>
        </w:rPr>
        <w:t xml:space="preserve"> de vida útil en 4 SKU (</w:t>
      </w:r>
      <w:r w:rsidRPr="002E5B48">
        <w:rPr>
          <w:b/>
          <w:bCs/>
          <w:lang w:val="es-CL"/>
        </w:rPr>
        <w:t>30→40 días</w:t>
      </w:r>
      <w:r w:rsidRPr="002E5B48">
        <w:rPr>
          <w:lang w:val="es-CL"/>
        </w:rPr>
        <w:t xml:space="preserve">), </w:t>
      </w:r>
      <w:r w:rsidRPr="002E5B48">
        <w:rPr>
          <w:b/>
          <w:bCs/>
          <w:lang w:val="es-CL"/>
        </w:rPr>
        <w:t>+1,2% Fill Rate</w:t>
      </w:r>
      <w:r w:rsidRPr="002E5B48">
        <w:rPr>
          <w:lang w:val="es-CL"/>
        </w:rPr>
        <w:t xml:space="preserve">; ahorro preservante </w:t>
      </w:r>
      <w:r w:rsidRPr="002E5B48">
        <w:rPr>
          <w:b/>
          <w:bCs/>
          <w:lang w:val="es-CL"/>
        </w:rPr>
        <w:t>USD 21.014/4 meses</w:t>
      </w:r>
      <w:r w:rsidRPr="002E5B48">
        <w:rPr>
          <w:lang w:val="es-CL"/>
        </w:rPr>
        <w:t xml:space="preserve">, disminución VO </w:t>
      </w:r>
      <w:r w:rsidRPr="002E5B48">
        <w:rPr>
          <w:b/>
          <w:bCs/>
          <w:lang w:val="es-CL"/>
        </w:rPr>
        <w:t>USD 11.111/4 meses</w:t>
      </w:r>
      <w:r w:rsidRPr="002E5B48">
        <w:rPr>
          <w:lang w:val="es-CL"/>
        </w:rPr>
        <w:t xml:space="preserve">; </w:t>
      </w:r>
      <w:r w:rsidRPr="002E5B48">
        <w:rPr>
          <w:b/>
          <w:bCs/>
          <w:lang w:val="es-CL"/>
        </w:rPr>
        <w:t>EBITDA ~USD 110.912 (2024)</w:t>
      </w:r>
      <w:r w:rsidRPr="002E5B48">
        <w:rPr>
          <w:lang w:val="es-CL"/>
        </w:rPr>
        <w:t xml:space="preserve"> y </w:t>
      </w:r>
      <w:r w:rsidRPr="002E5B48">
        <w:rPr>
          <w:b/>
          <w:bCs/>
          <w:lang w:val="es-CL"/>
        </w:rPr>
        <w:t>~USD 148.993 (2025)</w:t>
      </w:r>
      <w:r w:rsidRPr="002E5B48">
        <w:rPr>
          <w:lang w:val="es-CL"/>
        </w:rPr>
        <w:t>.</w:t>
      </w:r>
    </w:p>
    <w:p w14:paraId="2993C6F4" w14:textId="77777777" w:rsidR="001B29E2" w:rsidRDefault="00000000">
      <w:r>
        <w:pict w14:anchorId="2993C78F">
          <v:rect id="_x0000_i1075" style="width:0;height:1.5pt" o:hralign="center" o:hrstd="t" o:hr="t"/>
        </w:pict>
      </w:r>
    </w:p>
    <w:p w14:paraId="2993C6F5" w14:textId="77777777" w:rsidR="001B29E2" w:rsidRPr="002E5B48" w:rsidRDefault="001D3FBF">
      <w:pPr>
        <w:pStyle w:val="Ttulo1"/>
        <w:rPr>
          <w:lang w:val="es-CL"/>
        </w:rPr>
      </w:pPr>
      <w:bookmarkStart w:id="51" w:name="manteniendo-nuestro-liderazgo"/>
      <w:bookmarkEnd w:id="50"/>
      <w:r w:rsidRPr="002E5B48">
        <w:rPr>
          <w:lang w:val="es-CL"/>
        </w:rPr>
        <w:t>Manteniendo nuestro liderazgo</w:t>
      </w:r>
    </w:p>
    <w:p w14:paraId="2993C6F6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Pérdida de 8% de participación en saborizados Super Cerdo por entrada de competidores con precios agresivos y marcas propias.</w:t>
      </w:r>
    </w:p>
    <w:p w14:paraId="2993C6F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Mejora de fórmulas: incremento del % de marinado (+2 a +3 pp) y extensión de vida útil en +5 días para 8 SKU (de 20 a 25 días; ~470 ton/mes).</w:t>
      </w:r>
    </w:p>
    <w:p w14:paraId="2993C6F8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Validación sensorial y normativa; control de retención de marinado; pilotaje por SKU; aseguramiento de abastecimiento de insumos.</w:t>
      </w:r>
    </w:p>
    <w:p w14:paraId="2993C6F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Mayor competitividad en precio y percepción de calidad; </w:t>
      </w:r>
      <w:r w:rsidRPr="002E5B48">
        <w:rPr>
          <w:b/>
          <w:bCs/>
          <w:lang w:val="es-CL"/>
        </w:rPr>
        <w:t>EBITDA/costos ~USD 1.074.665</w:t>
      </w:r>
      <w:r w:rsidRPr="002E5B48">
        <w:rPr>
          <w:lang w:val="es-CL"/>
        </w:rPr>
        <w:t xml:space="preserve"> con </w:t>
      </w:r>
      <w:r w:rsidRPr="002E5B48">
        <w:rPr>
          <w:b/>
          <w:bCs/>
          <w:lang w:val="es-CL"/>
        </w:rPr>
        <w:t>USD 93.000 ya capturados</w:t>
      </w:r>
      <w:r w:rsidRPr="002E5B48">
        <w:rPr>
          <w:lang w:val="es-CL"/>
        </w:rPr>
        <w:t>.</w:t>
      </w:r>
    </w:p>
    <w:p w14:paraId="2993C6FA" w14:textId="77777777" w:rsidR="001B29E2" w:rsidRDefault="00000000">
      <w:r>
        <w:pict w14:anchorId="2993C790">
          <v:rect id="_x0000_i1076" style="width:0;height:1.5pt" o:hralign="center" o:hrstd="t" o:hr="t"/>
        </w:pict>
      </w:r>
    </w:p>
    <w:p w14:paraId="2993C6FB" w14:textId="77777777" w:rsidR="001B29E2" w:rsidRPr="002E5B48" w:rsidRDefault="001D3FBF">
      <w:pPr>
        <w:pStyle w:val="Ttulo1"/>
        <w:rPr>
          <w:lang w:val="es-CL"/>
        </w:rPr>
      </w:pPr>
      <w:bookmarkStart w:id="52" w:name="inventario-turbo-palm"/>
      <w:bookmarkEnd w:id="51"/>
      <w:r w:rsidRPr="002E5B48">
        <w:rPr>
          <w:lang w:val="es-CL"/>
        </w:rPr>
        <w:t>Inventario Turbo (PALM)</w:t>
      </w:r>
    </w:p>
    <w:p w14:paraId="2993C6FC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Merma en bodegas de materias primas ensacadas y tiempos perdidos por inventarios manuales en PALM (Lo Miranda).</w:t>
      </w:r>
    </w:p>
    <w:p w14:paraId="2993C6F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Estandarización y optimización del control de stock con Power Apps y reportería; metas: −10% merma MP, −10% tiempos perdidos, −1% estadía/demurrage.</w:t>
      </w:r>
    </w:p>
    <w:p w14:paraId="2993C6FE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Frecuencia y disciplina de conteos; integración con BW/SAP; formación de usuarios; escalabilidad multi‑bodega.</w:t>
      </w:r>
    </w:p>
    <w:p w14:paraId="2993C6F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Beneficios del proyecto</w:t>
      </w:r>
      <w:r w:rsidRPr="002E5B48">
        <w:rPr>
          <w:lang w:val="es-CL"/>
        </w:rPr>
        <w:t xml:space="preserve"> - </w:t>
      </w:r>
      <w:r w:rsidRPr="002E5B48">
        <w:rPr>
          <w:b/>
          <w:bCs/>
          <w:lang w:val="es-CL"/>
        </w:rPr>
        <w:t>EBITDA ~USD 1.136.987</w:t>
      </w:r>
      <w:r w:rsidRPr="002E5B48">
        <w:rPr>
          <w:lang w:val="es-CL"/>
        </w:rPr>
        <w:t xml:space="preserve">, </w:t>
      </w:r>
      <w:r w:rsidRPr="002E5B48">
        <w:rPr>
          <w:b/>
          <w:bCs/>
          <w:lang w:val="es-CL"/>
        </w:rPr>
        <w:t>+43.800 HHT/año</w:t>
      </w:r>
      <w:r w:rsidRPr="002E5B48">
        <w:rPr>
          <w:lang w:val="es-CL"/>
        </w:rPr>
        <w:t>; menor merma y mejor disponibilidad de MP para producción.</w:t>
      </w:r>
    </w:p>
    <w:p w14:paraId="2993C700" w14:textId="77777777" w:rsidR="001B29E2" w:rsidRDefault="00000000">
      <w:r>
        <w:pict w14:anchorId="2993C791">
          <v:rect id="_x0000_i1077" style="width:0;height:1.5pt" o:hralign="center" o:hrstd="t" o:hr="t"/>
        </w:pict>
      </w:r>
    </w:p>
    <w:p w14:paraId="2993C701" w14:textId="77777777" w:rsidR="001B29E2" w:rsidRPr="002E5B48" w:rsidRDefault="001D3FBF">
      <w:pPr>
        <w:pStyle w:val="Ttulo1"/>
        <w:rPr>
          <w:lang w:val="es-CL"/>
        </w:rPr>
      </w:pPr>
      <w:bookmarkStart w:id="53" w:name="X667fb017404ee5a4d543807572151839d6910b3"/>
      <w:bookmarkEnd w:id="52"/>
      <w:r w:rsidRPr="002E5B48">
        <w:rPr>
          <w:lang w:val="es-CL"/>
        </w:rPr>
        <w:t>AgroAnalytics: Alimentando Oportunidades Estratégicas</w:t>
      </w:r>
    </w:p>
    <w:p w14:paraId="2993C702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Panel anterior subutilizado y datos de benchmark desagregados que frenan decisiones y competitividad.</w:t>
      </w:r>
    </w:p>
    <w:p w14:paraId="2993C70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Plataforma unificada con Power BI + SQL que consolida Agristats, con UX simple, guías integradas y capacitación corta.</w:t>
      </w:r>
    </w:p>
    <w:p w14:paraId="2993C704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Calidad y oportunidad de datos; adopción por áreas; gobierno de KPIs; roadmap de escalamiento.</w:t>
      </w:r>
    </w:p>
    <w:p w14:paraId="2993C70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Decisiones más rápidas y eficaces; mejora de productividad y competitividad; </w:t>
      </w:r>
      <w:r w:rsidRPr="002E5B48">
        <w:rPr>
          <w:b/>
          <w:bCs/>
          <w:lang w:val="es-CL"/>
        </w:rPr>
        <w:t>EBITDA/costos ~USD 22.920</w:t>
      </w:r>
      <w:r w:rsidRPr="002E5B48">
        <w:rPr>
          <w:lang w:val="es-CL"/>
        </w:rPr>
        <w:t>.</w:t>
      </w:r>
    </w:p>
    <w:p w14:paraId="2993C706" w14:textId="77777777" w:rsidR="001B29E2" w:rsidRDefault="00000000">
      <w:r>
        <w:pict w14:anchorId="2993C792">
          <v:rect id="_x0000_i1078" style="width:0;height:1.5pt" o:hralign="center" o:hrstd="t" o:hr="t"/>
        </w:pict>
      </w:r>
    </w:p>
    <w:p w14:paraId="2993C707" w14:textId="77777777" w:rsidR="001B29E2" w:rsidRPr="002E5B48" w:rsidRDefault="001D3FBF">
      <w:pPr>
        <w:pStyle w:val="Ttulo1"/>
        <w:rPr>
          <w:lang w:val="es-CL"/>
        </w:rPr>
      </w:pPr>
      <w:bookmarkStart w:id="54" w:name="master-plan-miraflores"/>
      <w:bookmarkEnd w:id="53"/>
      <w:r w:rsidRPr="002E5B48">
        <w:rPr>
          <w:lang w:val="es-CL"/>
        </w:rPr>
        <w:t>Master Plan Miraflores</w:t>
      </w:r>
    </w:p>
    <w:p w14:paraId="2993C708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Operación caótica en CD: cajas deterioradas, reprocesos, despachos incompletos y fuera de tiempo.</w:t>
      </w:r>
    </w:p>
    <w:p w14:paraId="2993C70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Reorganización integral del flujo logístico con estándares de recepción, picking, despacho, instrucciones de carga y monitoreo en tiempo real.</w:t>
      </w:r>
    </w:p>
    <w:p w14:paraId="2993C70A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Estandarización de productividad, lógica de almacenaje, trazabilidad de ruta; disciplina operativa.</w:t>
      </w:r>
    </w:p>
    <w:p w14:paraId="2993C70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Mejoras en </w:t>
      </w:r>
      <w:r w:rsidRPr="002E5B48">
        <w:rPr>
          <w:b/>
          <w:bCs/>
          <w:lang w:val="es-CL"/>
        </w:rPr>
        <w:t>Fill Rate, Productividad y Decomiso</w:t>
      </w:r>
      <w:r w:rsidRPr="002E5B48">
        <w:rPr>
          <w:lang w:val="es-CL"/>
        </w:rPr>
        <w:t xml:space="preserve">; </w:t>
      </w:r>
      <w:r w:rsidRPr="002E5B48">
        <w:rPr>
          <w:b/>
          <w:bCs/>
          <w:lang w:val="es-CL"/>
        </w:rPr>
        <w:t>EBITDA/costos ~USD 138.915</w:t>
      </w:r>
      <w:r w:rsidRPr="002E5B48">
        <w:rPr>
          <w:lang w:val="es-CL"/>
        </w:rPr>
        <w:t xml:space="preserve"> y </w:t>
      </w:r>
      <w:r w:rsidRPr="002E5B48">
        <w:rPr>
          <w:b/>
          <w:bCs/>
          <w:lang w:val="es-CL"/>
        </w:rPr>
        <w:t>7.648 HHT</w:t>
      </w:r>
      <w:r w:rsidRPr="002E5B48">
        <w:rPr>
          <w:lang w:val="es-CL"/>
        </w:rPr>
        <w:t xml:space="preserve"> capturadas.</w:t>
      </w:r>
    </w:p>
    <w:p w14:paraId="2993C70C" w14:textId="77777777" w:rsidR="001B29E2" w:rsidRDefault="00000000">
      <w:r>
        <w:pict w14:anchorId="2993C793">
          <v:rect id="_x0000_i1079" style="width:0;height:1.5pt" o:hralign="center" o:hrstd="t" o:hr="t"/>
        </w:pict>
      </w:r>
    </w:p>
    <w:p w14:paraId="2993C70D" w14:textId="77777777" w:rsidR="001B29E2" w:rsidRPr="002E5B48" w:rsidRDefault="001D3FBF">
      <w:pPr>
        <w:pStyle w:val="Ttulo1"/>
        <w:rPr>
          <w:lang w:val="es-CL"/>
        </w:rPr>
      </w:pPr>
      <w:bookmarkStart w:id="55" w:name="devolución-de-clientes"/>
      <w:bookmarkEnd w:id="54"/>
      <w:r w:rsidRPr="002E5B48">
        <w:rPr>
          <w:lang w:val="es-CL"/>
        </w:rPr>
        <w:t>Devolución de Clientes</w:t>
      </w:r>
    </w:p>
    <w:p w14:paraId="2993C70E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Devoluciones gestionadas por correo, sin control ni trazabilidad, con demoras y clientes insatisfechos.</w:t>
      </w:r>
    </w:p>
    <w:p w14:paraId="2993C70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App que sincroniza áreas, estandariza etapas y genera reportería de indicadores; gestión autónoma y controlada.</w:t>
      </w:r>
    </w:p>
    <w:p w14:paraId="2993C710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Variables críticas</w:t>
      </w:r>
      <w:r w:rsidRPr="002E5B48">
        <w:rPr>
          <w:lang w:val="es-CL"/>
        </w:rPr>
        <w:t xml:space="preserve"> - Diseño de flujos y permisos; adopción por usuarios; integración a Power BI; soporte operativo.</w:t>
      </w:r>
    </w:p>
    <w:p w14:paraId="2993C71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Reducción de carga de trabajo de </w:t>
      </w:r>
      <w:r w:rsidRPr="002E5B48">
        <w:rPr>
          <w:b/>
          <w:bCs/>
          <w:lang w:val="es-CL"/>
        </w:rPr>
        <w:t>288 a 216 HHT/año</w:t>
      </w:r>
      <w:r w:rsidRPr="002E5B48">
        <w:rPr>
          <w:lang w:val="es-CL"/>
        </w:rPr>
        <w:t>; mayor eficiencia y satisfacción de cliente.</w:t>
      </w:r>
    </w:p>
    <w:p w14:paraId="2993C712" w14:textId="77777777" w:rsidR="001B29E2" w:rsidRDefault="00000000">
      <w:r>
        <w:pict w14:anchorId="2993C794">
          <v:rect id="_x0000_i1080" style="width:0;height:1.5pt" o:hralign="center" o:hrstd="t" o:hr="t"/>
        </w:pict>
      </w:r>
    </w:p>
    <w:p w14:paraId="2993C713" w14:textId="77777777" w:rsidR="001B29E2" w:rsidRPr="002E5B48" w:rsidRDefault="001D3FBF">
      <w:pPr>
        <w:pStyle w:val="Ttulo1"/>
        <w:rPr>
          <w:lang w:val="es-CL"/>
        </w:rPr>
      </w:pPr>
      <w:bookmarkStart w:id="56" w:name="eficiencia-en-bodegas-con-5s"/>
      <w:bookmarkEnd w:id="55"/>
      <w:r w:rsidRPr="002E5B48">
        <w:rPr>
          <w:lang w:val="es-CL"/>
        </w:rPr>
        <w:t>Eficiencia en bodegas con 5S</w:t>
      </w:r>
    </w:p>
    <w:p w14:paraId="2993C714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Espacio desaprovechado, baja visibilidad y riesgos en bodegas de Producción Animal; tendencia a invertir en ampliaciones.</w:t>
      </w:r>
    </w:p>
    <w:p w14:paraId="2993C71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Implementación 5S con POEV, LUP, checklist, demarcaciones y estándares de acopio/zonas; Día “D” de orden y limpieza.</w:t>
      </w:r>
    </w:p>
    <w:p w14:paraId="2993C716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Cumplimiento sostenido de estándares; coaching y auditorías; gobierno visual.</w:t>
      </w:r>
    </w:p>
    <w:p w14:paraId="2993C71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</w:t>
      </w:r>
      <w:r w:rsidRPr="002E5B48">
        <w:rPr>
          <w:b/>
          <w:bCs/>
          <w:lang w:val="es-CL"/>
        </w:rPr>
        <w:t>61 m²</w:t>
      </w:r>
      <w:r w:rsidRPr="002E5B48">
        <w:rPr>
          <w:lang w:val="es-CL"/>
        </w:rPr>
        <w:t xml:space="preserve"> capturados, </w:t>
      </w:r>
      <w:r w:rsidRPr="002E5B48">
        <w:rPr>
          <w:b/>
          <w:bCs/>
          <w:lang w:val="es-CL"/>
        </w:rPr>
        <w:t>USD 557/m²</w:t>
      </w:r>
      <w:r w:rsidRPr="002E5B48">
        <w:rPr>
          <w:lang w:val="es-CL"/>
        </w:rPr>
        <w:t xml:space="preserve"> de ahorro, </w:t>
      </w:r>
      <w:r w:rsidRPr="002E5B48">
        <w:rPr>
          <w:b/>
          <w:bCs/>
          <w:lang w:val="es-CL"/>
        </w:rPr>
        <w:t>EBITDA/costos ~USD 2.783</w:t>
      </w:r>
      <w:r w:rsidRPr="002E5B48">
        <w:rPr>
          <w:lang w:val="es-CL"/>
        </w:rPr>
        <w:t xml:space="preserve"> y </w:t>
      </w:r>
      <w:r w:rsidRPr="002E5B48">
        <w:rPr>
          <w:b/>
          <w:bCs/>
          <w:lang w:val="es-CL"/>
        </w:rPr>
        <w:t>90 HHT</w:t>
      </w:r>
      <w:r w:rsidRPr="002E5B48">
        <w:rPr>
          <w:lang w:val="es-CL"/>
        </w:rPr>
        <w:t>; mayor seguridad y productividad.</w:t>
      </w:r>
    </w:p>
    <w:p w14:paraId="2993C718" w14:textId="77777777" w:rsidR="001B29E2" w:rsidRDefault="00000000">
      <w:r>
        <w:pict w14:anchorId="2993C795">
          <v:rect id="_x0000_i1081" style="width:0;height:1.5pt" o:hralign="center" o:hrstd="t" o:hr="t"/>
        </w:pict>
      </w:r>
    </w:p>
    <w:p w14:paraId="2993C719" w14:textId="77777777" w:rsidR="001B29E2" w:rsidRPr="002E5B48" w:rsidRDefault="001D3FBF">
      <w:pPr>
        <w:pStyle w:val="Ttulo1"/>
        <w:rPr>
          <w:lang w:val="es-CL"/>
        </w:rPr>
      </w:pPr>
      <w:bookmarkStart w:id="57" w:name="innovalithium"/>
      <w:bookmarkEnd w:id="56"/>
      <w:r w:rsidRPr="002E5B48">
        <w:rPr>
          <w:lang w:val="es-CL"/>
        </w:rPr>
        <w:t>Innovalithium</w:t>
      </w:r>
    </w:p>
    <w:p w14:paraId="2993C71A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Baterías de ácido‑plomo en equipos rodantes requieren 6 h de carga + 1 h reposo y saturan espacios, limitando productividad y crecimiento.</w:t>
      </w:r>
    </w:p>
    <w:p w14:paraId="2993C71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Sustitución por baterías de litio con carga en ~2 h, sin reposo, y flexibilidad de carga parcial; reorganización de espacios.</w:t>
      </w:r>
    </w:p>
    <w:p w14:paraId="2993C71C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Plan de inversión y recambio; seguridad y capacitación; gestión de infraestructura eléctrica; métricas de productividad.</w:t>
      </w:r>
    </w:p>
    <w:p w14:paraId="2993C71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</w:t>
      </w:r>
      <w:r w:rsidRPr="002E5B48">
        <w:rPr>
          <w:b/>
          <w:bCs/>
          <w:lang w:val="es-CL"/>
        </w:rPr>
        <w:t>EBITDA/costos ~USD 3.207.050</w:t>
      </w:r>
      <w:r w:rsidRPr="002E5B48">
        <w:rPr>
          <w:lang w:val="es-CL"/>
        </w:rPr>
        <w:t xml:space="preserve">, </w:t>
      </w:r>
      <w:r w:rsidRPr="002E5B48">
        <w:rPr>
          <w:b/>
          <w:bCs/>
          <w:lang w:val="es-CL"/>
        </w:rPr>
        <w:t>2.208 HHT</w:t>
      </w:r>
      <w:r w:rsidRPr="002E5B48">
        <w:rPr>
          <w:lang w:val="es-CL"/>
        </w:rPr>
        <w:t>; aumento de productividad y menor riesgo operativo/ambiental.</w:t>
      </w:r>
    </w:p>
    <w:p w14:paraId="2993C71E" w14:textId="77777777" w:rsidR="001B29E2" w:rsidRDefault="00000000">
      <w:r>
        <w:pict w14:anchorId="2993C796">
          <v:rect id="_x0000_i1082" style="width:0;height:1.5pt" o:hralign="center" o:hrstd="t" o:hr="t"/>
        </w:pict>
      </w:r>
    </w:p>
    <w:p w14:paraId="2993C71F" w14:textId="77777777" w:rsidR="001B29E2" w:rsidRPr="002E5B48" w:rsidRDefault="001D3FBF">
      <w:pPr>
        <w:pStyle w:val="Ttulo1"/>
        <w:rPr>
          <w:lang w:val="es-CL"/>
        </w:rPr>
      </w:pPr>
      <w:bookmarkStart w:id="58" w:name="biocontrol-plantas-de-tratamiento"/>
      <w:bookmarkEnd w:id="57"/>
      <w:r w:rsidRPr="002E5B48">
        <w:rPr>
          <w:lang w:val="es-CL"/>
        </w:rPr>
        <w:t>Biocontrol (Plantas de Tratamiento)</w:t>
      </w:r>
    </w:p>
    <w:p w14:paraId="2993C720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Desestabilizaciones de 2023 en plantas de Biocorneche costaron ~USD 640.000; reacción lenta y sin indicadores adecuados.</w:t>
      </w:r>
    </w:p>
    <w:p w14:paraId="2993C72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Tablero en línea con KPIs clave, rangos, alertas y playbooks; reuniones cíclicas y pantallas en sitio.</w:t>
      </w:r>
    </w:p>
    <w:p w14:paraId="2993C722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Variables críticas</w:t>
      </w:r>
      <w:r w:rsidRPr="002E5B48">
        <w:rPr>
          <w:lang w:val="es-CL"/>
        </w:rPr>
        <w:t xml:space="preserve"> - Datos en tiempo real; disciplina de uso de playbooks; estandarización de respuesta ante desviaciones.</w:t>
      </w:r>
    </w:p>
    <w:p w14:paraId="2993C72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</w:t>
      </w:r>
      <w:r w:rsidRPr="002E5B48">
        <w:rPr>
          <w:b/>
          <w:bCs/>
          <w:lang w:val="es-CL"/>
        </w:rPr>
        <w:t>0 desviaciones de pH</w:t>
      </w:r>
      <w:r w:rsidRPr="002E5B48">
        <w:rPr>
          <w:lang w:val="es-CL"/>
        </w:rPr>
        <w:t xml:space="preserve"> y </w:t>
      </w:r>
      <w:r w:rsidRPr="002E5B48">
        <w:rPr>
          <w:b/>
          <w:bCs/>
          <w:lang w:val="es-CL"/>
        </w:rPr>
        <w:t>USD 0</w:t>
      </w:r>
      <w:r w:rsidRPr="002E5B48">
        <w:rPr>
          <w:lang w:val="es-CL"/>
        </w:rPr>
        <w:t xml:space="preserve"> en insumos extra 2024; continuidad operacional resguardada; </w:t>
      </w:r>
      <w:r w:rsidRPr="002E5B48">
        <w:rPr>
          <w:b/>
          <w:bCs/>
          <w:lang w:val="es-CL"/>
        </w:rPr>
        <w:t>520 HHT</w:t>
      </w:r>
      <w:r w:rsidRPr="002E5B48">
        <w:rPr>
          <w:lang w:val="es-CL"/>
        </w:rPr>
        <w:t>.</w:t>
      </w:r>
    </w:p>
    <w:p w14:paraId="2993C724" w14:textId="77777777" w:rsidR="001B29E2" w:rsidRDefault="00000000">
      <w:r>
        <w:pict w14:anchorId="2993C797">
          <v:rect id="_x0000_i1083" style="width:0;height:1.5pt" o:hralign="center" o:hrstd="t" o:hr="t"/>
        </w:pict>
      </w:r>
    </w:p>
    <w:p w14:paraId="2993C725" w14:textId="77777777" w:rsidR="001B29E2" w:rsidRPr="002E5B48" w:rsidRDefault="001D3FBF">
      <w:pPr>
        <w:pStyle w:val="Ttulo1"/>
        <w:rPr>
          <w:lang w:val="es-CL"/>
        </w:rPr>
      </w:pPr>
      <w:bookmarkStart w:id="59" w:name="rfid-a-la-moda-duplicado"/>
      <w:bookmarkEnd w:id="58"/>
      <w:r w:rsidRPr="002E5B48">
        <w:rPr>
          <w:lang w:val="es-CL"/>
        </w:rPr>
        <w:t>RFID a la moda (duplicado)</w:t>
      </w:r>
    </w:p>
    <w:p w14:paraId="2993C726" w14:textId="77777777" w:rsidR="001B29E2" w:rsidRDefault="001D3FBF">
      <w:pPr>
        <w:pStyle w:val="FirstParagraph"/>
      </w:pPr>
      <w:r w:rsidRPr="002E5B48">
        <w:rPr>
          <w:b/>
          <w:bCs/>
          <w:lang w:val="es-CL"/>
        </w:rPr>
        <w:t>Nota</w:t>
      </w:r>
      <w:r w:rsidRPr="002E5B48">
        <w:rPr>
          <w:lang w:val="es-CL"/>
        </w:rPr>
        <w:t xml:space="preserve"> - Este proyecto ya fue incorporado en el consolidado anterior. </w:t>
      </w:r>
      <w:r>
        <w:t xml:space="preserve">No se </w:t>
      </w:r>
      <w:proofErr w:type="spellStart"/>
      <w:r>
        <w:t>duplica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; se </w:t>
      </w:r>
      <w:proofErr w:type="spellStart"/>
      <w:r>
        <w:t>mantiene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2993C727" w14:textId="77777777" w:rsidR="001B29E2" w:rsidRDefault="00000000">
      <w:r>
        <w:pict w14:anchorId="2993C798">
          <v:rect id="_x0000_i1084" style="width:0;height:1.5pt" o:hralign="center" o:hrstd="t" o:hr="t"/>
        </w:pict>
      </w:r>
    </w:p>
    <w:p w14:paraId="2993C728" w14:textId="77777777" w:rsidR="001B29E2" w:rsidRPr="002E5B48" w:rsidRDefault="001D3FBF">
      <w:pPr>
        <w:pStyle w:val="Ttulo1"/>
        <w:rPr>
          <w:lang w:val="es-CL"/>
        </w:rPr>
      </w:pPr>
      <w:bookmarkStart w:id="60" w:name="ahorros-on-fire"/>
      <w:bookmarkEnd w:id="59"/>
      <w:r w:rsidRPr="002E5B48">
        <w:rPr>
          <w:lang w:val="es-CL"/>
        </w:rPr>
        <w:t>Ahorros On Fire</w:t>
      </w:r>
    </w:p>
    <w:p w14:paraId="2993C729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Mercado de hamburguesas más competitivo, alza de materias primas y necesidad de mejorar la relación precio‑calidad sin degradar producto.</w:t>
      </w:r>
    </w:p>
    <w:p w14:paraId="2993C72A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Reformulaciones escalonadas 2023–2024: incorporación de cortes alternativos, mix vacuno/cerdo, homologación de PVT y cambios en insumos y empaque para eficiencia.</w:t>
      </w:r>
    </w:p>
    <w:p w14:paraId="2993C72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Aseguramiento sensorial y normativo por receta; disponibilidad de insumos y escalamiento; control de CDV por kg; ejecución promocional.</w:t>
      </w:r>
    </w:p>
    <w:p w14:paraId="2993C72C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Mejora de CDV ~USD 0,24/kg; participación en HB masivas 90–149 g de 29%→44% (+15 pp); +288% volumen (+1.600 ton); EBITDA/costos ~USD 3.648.242.</w:t>
      </w:r>
    </w:p>
    <w:p w14:paraId="2993C72D" w14:textId="77777777" w:rsidR="001B29E2" w:rsidRDefault="00000000">
      <w:r>
        <w:pict w14:anchorId="2993C799">
          <v:rect id="_x0000_i1085" style="width:0;height:1.5pt" o:hralign="center" o:hrstd="t" o:hr="t"/>
        </w:pict>
      </w:r>
    </w:p>
    <w:p w14:paraId="2993C72E" w14:textId="77777777" w:rsidR="001B29E2" w:rsidRPr="002E5B48" w:rsidRDefault="001D3FBF">
      <w:pPr>
        <w:pStyle w:val="Ttulo1"/>
        <w:rPr>
          <w:lang w:val="es-CL"/>
        </w:rPr>
      </w:pPr>
      <w:bookmarkStart w:id="61" w:name="X0bb31f88f9b336ff70dadefc8113274398a43cb"/>
      <w:bookmarkEnd w:id="60"/>
      <w:r w:rsidRPr="002E5B48">
        <w:rPr>
          <w:lang w:val="es-CL"/>
        </w:rPr>
        <w:t>IA para digitalización de facturas Rebate</w:t>
      </w:r>
    </w:p>
    <w:p w14:paraId="2993C72F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Distribución manual de facturas de aportes Rebate para contabilizar acuerdos comerciales, con errores, lentitud y riesgo financiero.</w:t>
      </w:r>
    </w:p>
    <w:p w14:paraId="2993C730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Lectura inteligente de PDFs para identificar códigos de acuerdos (Cencosud, Walmart, SMU, Tottus) y distribuir gastos; integración con RPA para contabilización en SAP dentro de una estrategia de hiperautomatización.</w:t>
      </w:r>
    </w:p>
    <w:p w14:paraId="2993C731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Calidad de OCR/IA y trazabilidad; integración RPA‑SAP; gobierno de datos; escalabilidad a otras unidades que lean PDF.</w:t>
      </w:r>
    </w:p>
    <w:p w14:paraId="2993C732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Beneficios del proyecto</w:t>
      </w:r>
      <w:r w:rsidRPr="002E5B48">
        <w:rPr>
          <w:lang w:val="es-CL"/>
        </w:rPr>
        <w:t xml:space="preserve"> - Cumplimiento de procesamiento al 90% (KPI3); 450 HHT; base para replicar lectura e interpretación de documentos en otros procesos.</w:t>
      </w:r>
    </w:p>
    <w:p w14:paraId="2993C733" w14:textId="77777777" w:rsidR="001B29E2" w:rsidRDefault="00000000">
      <w:r>
        <w:pict w14:anchorId="2993C79A">
          <v:rect id="_x0000_i1086" style="width:0;height:1.5pt" o:hralign="center" o:hrstd="t" o:hr="t"/>
        </w:pict>
      </w:r>
    </w:p>
    <w:p w14:paraId="2993C734" w14:textId="77777777" w:rsidR="001B29E2" w:rsidRPr="002E5B48" w:rsidRDefault="001D3FBF">
      <w:pPr>
        <w:pStyle w:val="Ttulo1"/>
        <w:rPr>
          <w:lang w:val="es-CL"/>
        </w:rPr>
      </w:pPr>
      <w:bookmarkStart w:id="62" w:name="turno-puente-faena"/>
      <w:bookmarkEnd w:id="61"/>
      <w:r w:rsidRPr="002E5B48">
        <w:rPr>
          <w:lang w:val="es-CL"/>
        </w:rPr>
        <w:t>Turno Puente Faena</w:t>
      </w:r>
    </w:p>
    <w:p w14:paraId="2993C735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Paros planificados entre jornadas y mayor HHEE para cumplir plan productivo; disponibilidad real por debajo de la programada.</w:t>
      </w:r>
    </w:p>
    <w:p w14:paraId="2993C736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Línea puente y esquema de rotación que mantienen el proceso continuo durante colación, con escuela práctica y matriz de habilidades.</w:t>
      </w:r>
    </w:p>
    <w:p w14:paraId="2993C737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Cumplimiento normativo de jornada; dotación mínima capacitada por tarea; coordinación con áreas anexas y línea backup.</w:t>
      </w:r>
    </w:p>
    <w:p w14:paraId="2993C738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Disponibilidad 82,2%→86,53% (+4,33 pp); HHEE −31,5%; agua/aseo 4,74→2,32 m³/h; costo planta −6% (~USD 21–26/ton); +18.961.290 kg/año; EBITDA/costos ~USD 6.236.817.</w:t>
      </w:r>
    </w:p>
    <w:p w14:paraId="2993C739" w14:textId="77777777" w:rsidR="001B29E2" w:rsidRDefault="00000000">
      <w:r>
        <w:pict w14:anchorId="2993C79B">
          <v:rect id="_x0000_i1087" style="width:0;height:1.5pt" o:hralign="center" o:hrstd="t" o:hr="t"/>
        </w:pict>
      </w:r>
    </w:p>
    <w:p w14:paraId="2993C73A" w14:textId="77777777" w:rsidR="001B29E2" w:rsidRPr="002E5B48" w:rsidRDefault="001D3FBF">
      <w:pPr>
        <w:pStyle w:val="Ttulo1"/>
        <w:rPr>
          <w:lang w:val="es-CL"/>
        </w:rPr>
      </w:pPr>
      <w:bookmarkStart w:id="63" w:name="firma-digital"/>
      <w:bookmarkEnd w:id="62"/>
      <w:r w:rsidRPr="002E5B48">
        <w:rPr>
          <w:lang w:val="es-CL"/>
        </w:rPr>
        <w:t>Firma digital</w:t>
      </w:r>
    </w:p>
    <w:p w14:paraId="2993C73B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Gestión documental laboral manual con multas potenciales, reprocesos y mala experiencia de usuario.</w:t>
      </w:r>
    </w:p>
    <w:p w14:paraId="2993C73C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Plataforma de firma digital y gestión documental “sin logueo”, plantillas corporativas y eliminación de enrolamientos/reportes manuales.</w:t>
      </w:r>
    </w:p>
    <w:p w14:paraId="2993C73D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Gobernanza documental y estandarización de plantillas; adopción de equipos; reducción de costo por envío.</w:t>
      </w:r>
    </w:p>
    <w:p w14:paraId="2993C73E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+37% de avance de firma; −60% multas por documentos no firmados; −100% multas por renta variable; 3.888 HHT; EBITDA/costos ~USD 131.211.</w:t>
      </w:r>
    </w:p>
    <w:p w14:paraId="2993C73F" w14:textId="77777777" w:rsidR="001B29E2" w:rsidRDefault="00000000">
      <w:r>
        <w:pict w14:anchorId="2993C79C">
          <v:rect id="_x0000_i1088" style="width:0;height:1.5pt" o:hralign="center" o:hrstd="t" o:hr="t"/>
        </w:pict>
      </w:r>
    </w:p>
    <w:p w14:paraId="2993C740" w14:textId="77777777" w:rsidR="001B29E2" w:rsidRPr="002E5B48" w:rsidRDefault="001D3FBF">
      <w:pPr>
        <w:pStyle w:val="Ttulo1"/>
        <w:rPr>
          <w:lang w:val="es-CL"/>
        </w:rPr>
      </w:pPr>
      <w:bookmarkStart w:id="64" w:name="ojo-clínico-2.0"/>
      <w:bookmarkEnd w:id="63"/>
      <w:r w:rsidRPr="002E5B48">
        <w:rPr>
          <w:lang w:val="es-CL"/>
        </w:rPr>
        <w:t>Ojo Clínico 2.0</w:t>
      </w:r>
    </w:p>
    <w:p w14:paraId="2993C741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Falta de estándar de control operacional entre Plantas de Alimento y Granjas; costos por alimento no conforme y eficiencia nutricional subóptima en pollos 1–18 días.</w:t>
      </w:r>
    </w:p>
    <w:p w14:paraId="2993C742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lastRenderedPageBreak/>
        <w:t>Solución creativa o innovadora</w:t>
      </w:r>
      <w:r w:rsidRPr="002E5B48">
        <w:rPr>
          <w:lang w:val="es-CL"/>
        </w:rPr>
        <w:t xml:space="preserve"> - Estándar de calidad física de alimento quebrantado y proceso de ajuste de quebrantadores; gestión visual y control.</w:t>
      </w:r>
    </w:p>
    <w:p w14:paraId="2993C743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KPIs: &gt;90% calidad física; +10% captura en conversión; disciplina de ajuste y control; capacitación.</w:t>
      </w:r>
    </w:p>
    <w:p w14:paraId="2993C744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Reducción de costos proyectada (~USD 5.200.000) y mejora de desempeño zootécnico por mayor captura nutricional.</w:t>
      </w:r>
    </w:p>
    <w:p w14:paraId="2993C745" w14:textId="77777777" w:rsidR="001B29E2" w:rsidRDefault="00000000">
      <w:r>
        <w:pict w14:anchorId="2993C79D">
          <v:rect id="_x0000_i1089" style="width:0;height:1.5pt" o:hralign="center" o:hrstd="t" o:hr="t"/>
        </w:pict>
      </w:r>
    </w:p>
    <w:p w14:paraId="2993C746" w14:textId="77777777" w:rsidR="001B29E2" w:rsidRPr="002E5B48" w:rsidRDefault="001D3FBF">
      <w:pPr>
        <w:pStyle w:val="Ttulo1"/>
        <w:rPr>
          <w:lang w:val="es-CL"/>
        </w:rPr>
      </w:pPr>
      <w:bookmarkStart w:id="65" w:name="Xb6090ebd9ac077fc7ec14fde752531d39b383ca"/>
      <w:bookmarkEnd w:id="64"/>
      <w:r w:rsidRPr="002E5B48">
        <w:rPr>
          <w:lang w:val="es-CL"/>
        </w:rPr>
        <w:t>Aumento de volumen calibrado con programación centralizada</w:t>
      </w:r>
    </w:p>
    <w:p w14:paraId="2993C747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Incumplimientos en programas de pechugas calibradas por desconocimiento de pesos y falta de recetas estandarizadas.</w:t>
      </w:r>
    </w:p>
    <w:p w14:paraId="2993C748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Análisis en línea de pesos, sugerencia de recetas de operación y asistencia remota para ajustes en turno; estandarización laminado/calibrado.</w:t>
      </w:r>
    </w:p>
    <w:p w14:paraId="2993C749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Conectividad y calidad de datos; ajuste de balanzas y equipos; formación de maquinistas; escalado a select y torres de control.</w:t>
      </w:r>
    </w:p>
    <w:p w14:paraId="2993C74A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Precisión de calibrado +8%; mejora en clasificado +35%; recuperación de MP según mercado; EBITDA ~USD 299.530.</w:t>
      </w:r>
    </w:p>
    <w:p w14:paraId="2993C74B" w14:textId="77777777" w:rsidR="001B29E2" w:rsidRDefault="00000000">
      <w:r>
        <w:pict w14:anchorId="2993C79E">
          <v:rect id="_x0000_i1090" style="width:0;height:1.5pt" o:hralign="center" o:hrstd="t" o:hr="t"/>
        </w:pict>
      </w:r>
    </w:p>
    <w:p w14:paraId="2993C74C" w14:textId="77777777" w:rsidR="001B29E2" w:rsidRPr="002E5B48" w:rsidRDefault="001D3FBF">
      <w:pPr>
        <w:pStyle w:val="Ttulo1"/>
        <w:rPr>
          <w:lang w:val="es-CL"/>
        </w:rPr>
      </w:pPr>
      <w:bookmarkStart w:id="66" w:name="modelo-de-gestión-territorial"/>
      <w:bookmarkEnd w:id="65"/>
      <w:r w:rsidRPr="002E5B48">
        <w:rPr>
          <w:lang w:val="es-CL"/>
        </w:rPr>
        <w:t>Modelo de gestión territorial</w:t>
      </w:r>
    </w:p>
    <w:p w14:paraId="2993C74D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Sucursal opera por canal y no por territorio, duplicando visitas en zonas lejanas y con baja venta digital; alto costo de atención.</w:t>
      </w:r>
    </w:p>
    <w:p w14:paraId="2993C74E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Sectorización territorial y unificación de canales (presencial, remoto, digital) con planes de visita y sinergias.</w:t>
      </w:r>
    </w:p>
    <w:p w14:paraId="2993C74F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Reglas de traspaso a venta digital; diseño de rutas y frecuencias; NPS y capacitación multicanal.</w:t>
      </w:r>
    </w:p>
    <w:p w14:paraId="2993C750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−14 h/sem de traslados por preventa; +300 clientes y +100 t/mes; 728 HHT; EBITDA/costos ~USD 296.000.</w:t>
      </w:r>
    </w:p>
    <w:p w14:paraId="2993C751" w14:textId="77777777" w:rsidR="001B29E2" w:rsidRDefault="00000000">
      <w:r>
        <w:pict w14:anchorId="2993C79F">
          <v:rect id="_x0000_i1091" style="width:0;height:1.5pt" o:hralign="center" o:hrstd="t" o:hr="t"/>
        </w:pict>
      </w:r>
    </w:p>
    <w:p w14:paraId="2993C752" w14:textId="77777777" w:rsidR="001B29E2" w:rsidRPr="002E5B48" w:rsidRDefault="001D3FBF">
      <w:pPr>
        <w:pStyle w:val="Ttulo1"/>
        <w:rPr>
          <w:lang w:val="es-CL"/>
        </w:rPr>
      </w:pPr>
      <w:bookmarkStart w:id="67" w:name="aumento-rendimiento-trutro-corto"/>
      <w:bookmarkEnd w:id="66"/>
      <w:r w:rsidRPr="002E5B48">
        <w:rPr>
          <w:lang w:val="es-CL"/>
        </w:rPr>
        <w:lastRenderedPageBreak/>
        <w:t>Aumento rendimiento trutro corto</w:t>
      </w:r>
    </w:p>
    <w:p w14:paraId="2993C753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Prolijado manual con baja productividad y pérdidas por corte ineficiente en módulo JL.</w:t>
      </w:r>
    </w:p>
    <w:p w14:paraId="2993C754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Piezas espaciadoras y ajustes de guías con pruebas para el nivel óptimo; estandarización de regulación del módulo.</w:t>
      </w:r>
    </w:p>
    <w:p w14:paraId="2993C755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Frecuencia de rectificado; parámetros por tamaño; validación industrial; costo bajo de implementación (~USD 210).</w:t>
      </w:r>
    </w:p>
    <w:p w14:paraId="2993C756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Rendimiento +0,62%; productividad +30%; +217 t de trutro corto deshuesado; EBITDA/costos ~USD 496.071.</w:t>
      </w:r>
    </w:p>
    <w:p w14:paraId="2993C757" w14:textId="77777777" w:rsidR="001B29E2" w:rsidRDefault="00000000">
      <w:r>
        <w:pict w14:anchorId="2993C7A0">
          <v:rect id="_x0000_i1092" style="width:0;height:1.5pt" o:hralign="center" o:hrstd="t" o:hr="t"/>
        </w:pict>
      </w:r>
    </w:p>
    <w:p w14:paraId="2993C758" w14:textId="77777777" w:rsidR="001B29E2" w:rsidRPr="002E5B48" w:rsidRDefault="001D3FBF">
      <w:pPr>
        <w:pStyle w:val="Ttulo1"/>
        <w:rPr>
          <w:lang w:val="es-CL"/>
        </w:rPr>
      </w:pPr>
      <w:bookmarkStart w:id="68" w:name="aceite-a-chorros-2.0"/>
      <w:bookmarkEnd w:id="67"/>
      <w:r w:rsidRPr="002E5B48">
        <w:rPr>
          <w:lang w:val="es-CL"/>
        </w:rPr>
        <w:t>Aceite a chorros 2.0</w:t>
      </w:r>
    </w:p>
    <w:p w14:paraId="2993C759" w14:textId="77777777" w:rsidR="001B29E2" w:rsidRPr="002E5B48" w:rsidRDefault="001D3FBF">
      <w:pPr>
        <w:pStyle w:val="FirstParagraph"/>
        <w:rPr>
          <w:lang w:val="es-CL"/>
        </w:rPr>
      </w:pPr>
      <w:r w:rsidRPr="002E5B48">
        <w:rPr>
          <w:b/>
          <w:bCs/>
          <w:lang w:val="es-CL"/>
        </w:rPr>
        <w:t>Problema/Oportunidad</w:t>
      </w:r>
      <w:r w:rsidRPr="002E5B48">
        <w:rPr>
          <w:lang w:val="es-CL"/>
        </w:rPr>
        <w:t xml:space="preserve"> - Baja extracción de aceite en riles, altos costos de combustible y químicos, y baja eficiencia energética.</w:t>
      </w:r>
    </w:p>
    <w:p w14:paraId="2993C75A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Solución creativa o innovadora</w:t>
      </w:r>
      <w:r w:rsidRPr="002E5B48">
        <w:rPr>
          <w:lang w:val="es-CL"/>
        </w:rPr>
        <w:t xml:space="preserve"> - Cambio a químico más eficiente con dosificación estandarizada y reemplazo de tricanter por equipo más robusto; operación con un equipo.</w:t>
      </w:r>
    </w:p>
    <w:p w14:paraId="2993C75B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Variables críticas</w:t>
      </w:r>
      <w:r w:rsidRPr="002E5B48">
        <w:rPr>
          <w:lang w:val="es-CL"/>
        </w:rPr>
        <w:t xml:space="preserve"> - Curvas de dosificación y capacitación; desempeño del nuevo tricanter; mercado para venta de excedentes.</w:t>
      </w:r>
    </w:p>
    <w:p w14:paraId="2993C75C" w14:textId="77777777" w:rsidR="001B29E2" w:rsidRPr="002E5B48" w:rsidRDefault="001D3FBF">
      <w:pPr>
        <w:pStyle w:val="Textoindependiente"/>
        <w:rPr>
          <w:lang w:val="es-CL"/>
        </w:rPr>
      </w:pPr>
      <w:r w:rsidRPr="002E5B48">
        <w:rPr>
          <w:b/>
          <w:bCs/>
          <w:lang w:val="es-CL"/>
        </w:rPr>
        <w:t>Beneficios del proyecto</w:t>
      </w:r>
      <w:r w:rsidRPr="002E5B48">
        <w:rPr>
          <w:lang w:val="es-CL"/>
        </w:rPr>
        <w:t xml:space="preserve"> - −25% consumo de químico; ahorro químico ~USD 272.715 y combustible ~USD 128.290; venta de aceite ~USD 158.203; EBITDA/costos ~USD 620.019; estándar replicable en plantas con PTAR.</w:t>
      </w:r>
      <w:bookmarkEnd w:id="68"/>
    </w:p>
    <w:sectPr w:rsidR="001B29E2" w:rsidRPr="002E5B4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2808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531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29E2"/>
    <w:rsid w:val="001259AB"/>
    <w:rsid w:val="001B29E2"/>
    <w:rsid w:val="001D3FBF"/>
    <w:rsid w:val="002E5B48"/>
    <w:rsid w:val="003A4225"/>
    <w:rsid w:val="003E14DC"/>
    <w:rsid w:val="004C2667"/>
    <w:rsid w:val="00506E7A"/>
    <w:rsid w:val="00706C32"/>
    <w:rsid w:val="00710A72"/>
    <w:rsid w:val="0085260C"/>
    <w:rsid w:val="00954C01"/>
    <w:rsid w:val="009670A3"/>
    <w:rsid w:val="009D2AA5"/>
    <w:rsid w:val="00A226F3"/>
    <w:rsid w:val="00A65BFC"/>
    <w:rsid w:val="00B77419"/>
    <w:rsid w:val="00CC71BB"/>
    <w:rsid w:val="00D77DEA"/>
    <w:rsid w:val="00DD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C5C3"/>
  <w15:docId w15:val="{9884A52E-C105-45EA-AEC0-B9415B49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6558</Words>
  <Characters>39223</Characters>
  <Application>Microsoft Office Word</Application>
  <DocSecurity>0</DocSecurity>
  <Lines>817</Lines>
  <Paragraphs>398</Paragraphs>
  <ScaleCrop>false</ScaleCrop>
  <Company/>
  <LinksUpToDate>false</LinksUpToDate>
  <CharactersWithSpaces>45383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Max Garcia</cp:lastModifiedBy>
  <cp:revision>10</cp:revision>
  <dcterms:created xsi:type="dcterms:W3CDTF">2025-10-31T00:02:00Z</dcterms:created>
  <dcterms:modified xsi:type="dcterms:W3CDTF">2025-11-17T19:11:00Z</dcterms:modified>
</cp:coreProperties>
</file>