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63" w:rsidRPr="002A4863" w:rsidRDefault="002A4863" w:rsidP="002A4863"/>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Default="002A4863" w:rsidP="002A4863"/>
    <w:p w:rsidR="002A4863" w:rsidRDefault="002A4863" w:rsidP="002A4863"/>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016D2E">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016D2E">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016D2E">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016D2E">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016D2E">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016D2E">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Herasuforderung</w:t>
      </w:r>
      <w:proofErr w:type="spellEnd"/>
      <w:r>
        <w:rPr>
          <w:rFonts w:ascii="Times New Roman" w:hAnsi="Times New Roman" w:cs="Times New Roman"/>
          <w:sz w:val="24"/>
          <w:szCs w:val="24"/>
        </w:rPr>
        <w:t xml:space="preserve"> Globalisierung und darin Wettbewerbsfähigkeit(</w:t>
      </w:r>
      <w:proofErr w:type="spellStart"/>
      <w:r>
        <w:rPr>
          <w:rFonts w:ascii="Times New Roman" w:hAnsi="Times New Roman" w:cs="Times New Roman"/>
          <w:sz w:val="24"/>
          <w:szCs w:val="24"/>
        </w:rPr>
        <w:t>Kadocsa</w:t>
      </w:r>
      <w:proofErr w:type="spellEnd"/>
      <w:r>
        <w:rPr>
          <w:rFonts w:ascii="Times New Roman" w:hAnsi="Times New Roman" w:cs="Times New Roman"/>
          <w:sz w:val="24"/>
          <w:szCs w:val="24"/>
        </w:rPr>
        <w:t xml:space="preserve">); Unternehmensbetrieb der zuverlässig ausgeglichen und </w:t>
      </w:r>
      <w:proofErr w:type="spellStart"/>
      <w:r>
        <w:rPr>
          <w:rFonts w:ascii="Times New Roman" w:hAnsi="Times New Roman" w:cs="Times New Roman"/>
          <w:sz w:val="24"/>
          <w:szCs w:val="24"/>
        </w:rPr>
        <w:t>qualität</w:t>
      </w:r>
      <w:proofErr w:type="spellEnd"/>
      <w:r>
        <w:rPr>
          <w:rFonts w:ascii="Times New Roman" w:hAnsi="Times New Roman" w:cs="Times New Roman"/>
          <w:sz w:val="24"/>
          <w:szCs w:val="24"/>
        </w:rPr>
        <w:t xml:space="preserve"> hat; Controlling </w:t>
      </w:r>
      <w:proofErr w:type="spellStart"/>
      <w:r>
        <w:rPr>
          <w:rFonts w:ascii="Times New Roman" w:hAnsi="Times New Roman" w:cs="Times New Roman"/>
          <w:sz w:val="24"/>
          <w:szCs w:val="24"/>
        </w:rPr>
        <w:t>bedeutung</w:t>
      </w:r>
      <w:proofErr w:type="spellEnd"/>
      <w:r>
        <w:rPr>
          <w:rFonts w:ascii="Times New Roman" w:hAnsi="Times New Roman" w:cs="Times New Roman"/>
          <w:sz w:val="24"/>
          <w:szCs w:val="24"/>
        </w:rPr>
        <w:t xml:space="preserve"> gewonnen</w:t>
      </w: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Digitalisierung</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EndPr/>
        <w:sdtContent>
          <w:r w:rsidR="00FF0B62">
            <w:rPr>
              <w:rFonts w:ascii="Times New Roman" w:hAnsi="Times New Roman" w:cs="Times New Roman"/>
              <w:sz w:val="24"/>
              <w:szCs w:val="24"/>
            </w:rPr>
            <w:fldChar w:fldCharType="begin"/>
          </w:r>
          <w:r w:rsidR="00FF0B62">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zo1NTozNyswMTowMCIsIk1vZGlmaWVkQnkiOiJfR2FibGVyIEFyYmVpdHNwbGF0eiIsIklkIjoiYWViNmU3ZDQtZTBjNi00YWJlLTgwOTYtOTIyYTg4YzU0MGVkIiwiTW9kaWZpZWRPbiI6IjIwMjItMTItMTNUMTc6NTU6Mzc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c6NTU6MzcrMDE6MDAiLCJNb2RpZmllZEJ5IjoiX0dhYmxlciBBcmJlaXRzcGxhdHoiLCJJZCI6IjVkNGY5YzRhLWM3NTAtNDhmZC1iYzEyLTAyYWI4ZTE4ODU0MyIsIk1vZGlmaWVkT24iOiIyMDIyLTEyLTEzVDE5OjA4OjA2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F0B62">
            <w:rPr>
              <w:rFonts w:ascii="Times New Roman" w:hAnsi="Times New Roman" w:cs="Times New Roman"/>
              <w:sz w:val="24"/>
              <w:szCs w:val="24"/>
            </w:rPr>
            <w:t>(Mayr 2015, S. 328)</w:t>
          </w:r>
          <w:r w:rsidR="00FF0B62">
            <w:rPr>
              <w:rFonts w:ascii="Times New Roman" w:hAnsi="Times New Roman" w:cs="Times New Roman"/>
              <w:sz w:val="24"/>
              <w:szCs w:val="24"/>
            </w:rPr>
            <w:fldChar w:fldCharType="end"/>
          </w:r>
        </w:sdtContent>
      </w:sdt>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MlQxODoxNDox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MlQxODoxNDox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MlQxODoxNDox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yVDE4OjE0OjE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EndPr/>
        <w:sdtContent>
          <w:r w:rsidR="005C4FD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 xml:space="preserve">einen höheren Jahresumsatz </w:t>
      </w:r>
      <w:r w:rsidR="003117BD">
        <w:rPr>
          <w:rFonts w:ascii="Times New Roman" w:hAnsi="Times New Roman" w:cs="Times New Roman"/>
          <w:sz w:val="24"/>
          <w:szCs w:val="24"/>
        </w:rPr>
        <w:lastRenderedPageBreak/>
        <w:t>von zwei</w:t>
      </w:r>
      <w:r w:rsidR="001D661D" w:rsidRPr="001D661D">
        <w:rPr>
          <w:rFonts w:ascii="Times New Roman" w:hAnsi="Times New Roman" w:cs="Times New Roman"/>
          <w:sz w:val="24"/>
          <w:szCs w:val="24"/>
        </w:rPr>
        <w:t xml:space="preserve"> Millionen Euro aufweisen. Die Kleinen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MlQxODoxNDox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CE6486" w:rsidRDefault="0033370F" w:rsidP="00CE64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120102"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 Unterschiede, speziell zwischen KMU und den großen Unternehmen, sind nach dieser Definition der Größenklassen, teilweise naheliegend. KMU sind in ihrer Bege</w:t>
      </w:r>
      <w:r w:rsidR="005F1F01">
        <w:rPr>
          <w:rFonts w:ascii="Times New Roman" w:eastAsia="Times New Roman" w:hAnsi="Times New Roman" w:cs="Times New Roman"/>
          <w:sz w:val="24"/>
          <w:szCs w:val="24"/>
        </w:rPr>
        <w:t xml:space="preserve">benheit was finanzielle, humane und auch zeitliche Kapital angeht, viel limitierter sind als die großen Unternehmen. Zudem kommt noch, dass sie aufgrund ihrer Größe einen beschränkteren Einfluss auf ihre Umwelt, sprich Konkurrenten, Lieferanten etc., haben.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243B92">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JUMTg6MTQ6MTI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5F1F01">
            <w:rPr>
              <w:rFonts w:ascii="Times New Roman" w:eastAsia="Times New Roman" w:hAnsi="Times New Roman" w:cs="Times New Roman"/>
              <w:sz w:val="24"/>
              <w:szCs w:val="24"/>
            </w:rPr>
            <w:t>(Kristandl et al. 2015, S. 284f.)</w:t>
          </w:r>
          <w:r w:rsidR="005F1F01">
            <w:rPr>
              <w:rFonts w:ascii="Times New Roman" w:eastAsia="Times New Roman" w:hAnsi="Times New Roman" w:cs="Times New Roman"/>
              <w:sz w:val="24"/>
              <w:szCs w:val="24"/>
            </w:rPr>
            <w:fldChar w:fldCharType="end"/>
          </w:r>
        </w:sdtContent>
      </w:sdt>
      <w:r w:rsidR="00B7410D">
        <w:rPr>
          <w:rFonts w:ascii="Times New Roman" w:eastAsia="Times New Roman" w:hAnsi="Times New Roman" w:cs="Times New Roman"/>
          <w:sz w:val="24"/>
          <w:szCs w:val="24"/>
        </w:rPr>
        <w:t xml:space="preserve"> Der Vorteil bei den KMU ergibt sich in den flacheren Hierarchien. Diese sorgen unter anderem für kürzere Entscheidungswege, welche dann wiederum zu einer besseren Reaktionszeit führt.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EndPr/>
        <w:sdtContent>
          <w:r w:rsidR="00B7410D">
            <w:rPr>
              <w:rFonts w:ascii="Times New Roman" w:eastAsia="Times New Roman" w:hAnsi="Times New Roman" w:cs="Times New Roman"/>
              <w:sz w:val="24"/>
              <w:szCs w:val="24"/>
            </w:rPr>
            <w:fldChar w:fldCharType="begin"/>
          </w:r>
          <w:r w:rsidR="00B7410D">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zo1NTozNyswMTowMCIsIk1vZGlmaWVkQnkiOiJfR2FibGVyIEFyYmVpdHNwbGF0eiIsIklkIjoiYWViNmU3ZDQtZTBjNi00YWJlLTgwOTYtOTIyYTg4YzU0MGVkIiwiTW9kaWZpZWRPbiI6IjIwMjItMTItMTNUMTc6NTU6Mzc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c6NTU6MzcrMDE6MDAiLCJNb2RpZmllZEJ5IjoiX0dhYmxlciBBcmJlaXRzcGxhdHoiLCJJZCI6IjVkNGY5YzRhLWM3NTAtNDhmZC1iYzEyLTAyYWI4ZTE4ODU0MyIsIk1vZGlmaWVkT24iOiIyMDIyLTEyLTEzVDE5OjA4OjA2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B7410D">
            <w:rPr>
              <w:rFonts w:ascii="Times New Roman" w:eastAsia="Times New Roman" w:hAnsi="Times New Roman" w:cs="Times New Roman"/>
              <w:sz w:val="24"/>
              <w:szCs w:val="24"/>
            </w:rPr>
            <w:t>(Mayr 2015, S. 327)</w:t>
          </w:r>
          <w:r w:rsidR="00B7410D">
            <w:rPr>
              <w:rFonts w:ascii="Times New Roman" w:eastAsia="Times New Roman" w:hAnsi="Times New Roman" w:cs="Times New Roman"/>
              <w:sz w:val="24"/>
              <w:szCs w:val="24"/>
            </w:rPr>
            <w:fldChar w:fldCharType="end"/>
          </w:r>
        </w:sdtContent>
      </w:sdt>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 xml:space="preserve">Über die fünf Jahre sind hier etwas stärkere Abweichungen zu erkennen, welche sich aber höchstens um ca. sechs </w:t>
      </w:r>
      <w:r w:rsidR="00EE276D">
        <w:rPr>
          <w:rFonts w:ascii="Times New Roman" w:eastAsia="Times New Roman" w:hAnsi="Times New Roman" w:cs="Times New Roman"/>
          <w:sz w:val="24"/>
          <w:szCs w:val="24"/>
        </w:rPr>
        <w:lastRenderedPageBreak/>
        <w:t>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EndPr/>
        <w:sdtContent>
          <w:r w:rsidR="00BA197B">
            <w:rPr>
              <w:rFonts w:ascii="Times New Roman" w:eastAsia="Times New Roman" w:hAnsi="Times New Roman" w:cs="Times New Roman"/>
              <w:sz w:val="24"/>
              <w:szCs w:val="24"/>
            </w:rPr>
            <w:fldChar w:fldCharType="begin"/>
          </w:r>
          <w:r w:rsidR="00BA197B">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I6Mjk6MzYrMDE6MDAiLCJNb2RpZmllZEJ5IjoiX0dhYmxlciBBcmJlaXRzcGxhdHoiLCJJZCI6IjAxNWY0ODNlLTE2OWQtNGI3YS1iN2RkLWRlZjM4YjFhY2NiNSIsIk1vZGlmaWVkT24iOiIyMDIyLTEyLTEzVDIyOjI5OjM2KzAxOjAw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joyOTozNiswMTowMCIsIk1vZGlmaWVkQnkiOiJfR2FibGVyIEFyYmVpdHNwbGF0eiIsIklkIjoiMmM0YmZkNWEtZGVlNS00NjRiLWI1NDItNjJmZTJiOTZlOWUyIiwiTW9kaWZpZWRPbiI6IjIwMjItMTItMTNUMjI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BA197B">
            <w:rPr>
              <w:rFonts w:ascii="Times New Roman" w:eastAsia="Times New Roman" w:hAnsi="Times New Roman" w:cs="Times New Roman"/>
              <w:sz w:val="24"/>
              <w:szCs w:val="24"/>
            </w:rPr>
            <w:t>(Statistisches Bundesamt Deutschland - GENESIS-Online: Tabelle abrufen 2022)</w:t>
          </w:r>
          <w:r w:rsidR="00BA197B">
            <w:rPr>
              <w:rFonts w:ascii="Times New Roman" w:eastAsia="Times New Roman" w:hAnsi="Times New Roman" w:cs="Times New Roman"/>
              <w:sz w:val="24"/>
              <w:szCs w:val="24"/>
            </w:rPr>
            <w:fldChar w:fldCharType="end"/>
          </w:r>
        </w:sdtContent>
      </w:sdt>
    </w:p>
    <w:p w:rsidR="00C84D38" w:rsidRPr="00120102"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 xml:space="preserve">Der Anteil der KMU an den Gesamtunternehmen ist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 si</w:t>
      </w:r>
      <w:r w:rsidR="003117BD">
        <w:rPr>
          <w:rFonts w:ascii="Times New Roman" w:eastAsia="Times New Roman" w:hAnsi="Times New Roman" w:cs="Times New Roman"/>
          <w:sz w:val="24"/>
          <w:szCs w:val="24"/>
        </w:rPr>
        <w:t xml:space="preserve">eht man aber einen </w:t>
      </w:r>
      <w:r w:rsidR="000C63B2">
        <w:rPr>
          <w:rFonts w:ascii="Times New Roman" w:eastAsia="Times New Roman" w:hAnsi="Times New Roman" w:cs="Times New Roman"/>
          <w:sz w:val="24"/>
          <w:szCs w:val="24"/>
        </w:rPr>
        <w:t>geringer</w:t>
      </w:r>
      <w:r w:rsidR="003117BD">
        <w:rPr>
          <w:rFonts w:ascii="Times New Roman" w:eastAsia="Times New Roman" w:hAnsi="Times New Roman" w:cs="Times New Roman"/>
          <w:sz w:val="24"/>
          <w:szCs w:val="24"/>
        </w:rPr>
        <w:t>en</w:t>
      </w:r>
      <w:r w:rsidR="000C63B2">
        <w:rPr>
          <w:rFonts w:ascii="Times New Roman" w:eastAsia="Times New Roman" w:hAnsi="Times New Roman" w:cs="Times New Roman"/>
          <w:sz w:val="24"/>
          <w:szCs w:val="24"/>
        </w:rPr>
        <w:t xml:space="preserve"> Umsatz- und Mitarbeiteranteil. Das sollte aber kaum überraschen, </w:t>
      </w:r>
      <w:r w:rsidR="003117BD">
        <w:rPr>
          <w:rFonts w:ascii="Times New Roman" w:eastAsia="Times New Roman" w:hAnsi="Times New Roman" w:cs="Times New Roman"/>
          <w:sz w:val="24"/>
          <w:szCs w:val="24"/>
        </w:rPr>
        <w:t>denn</w:t>
      </w:r>
      <w:r w:rsidR="000C63B2">
        <w:rPr>
          <w:rFonts w:ascii="Times New Roman" w:eastAsia="Times New Roman" w:hAnsi="Times New Roman" w:cs="Times New Roman"/>
          <w:sz w:val="24"/>
          <w:szCs w:val="24"/>
        </w:rPr>
        <w:t xml:space="preserve"> der Anteil </w:t>
      </w:r>
      <w:r w:rsidR="003117BD">
        <w:rPr>
          <w:rFonts w:ascii="Times New Roman" w:eastAsia="Times New Roman" w:hAnsi="Times New Roman" w:cs="Times New Roman"/>
          <w:sz w:val="24"/>
          <w:szCs w:val="24"/>
        </w:rPr>
        <w:t>an Kleinstunternehmen liegt</w:t>
      </w:r>
      <w:r w:rsidR="000C63B2">
        <w:rPr>
          <w:rFonts w:ascii="Times New Roman" w:eastAsia="Times New Roman" w:hAnsi="Times New Roman" w:cs="Times New Roman"/>
          <w:sz w:val="24"/>
          <w:szCs w:val="24"/>
        </w:rPr>
        <w:t xml:space="preserve"> bei über 80%</w:t>
      </w:r>
      <w:r w:rsidR="003117BD">
        <w:rPr>
          <w:rFonts w:ascii="Times New Roman" w:eastAsia="Times New Roman" w:hAnsi="Times New Roman" w:cs="Times New Roman"/>
          <w:sz w:val="24"/>
          <w:szCs w:val="24"/>
        </w:rPr>
        <w:t>. Infolgedessen bedeutet dies, der Großteil der Unternehmen hat höchstens neun Mitarbeiter und einen Höchstumsatz von zwei Millionen.</w:t>
      </w:r>
      <w:r w:rsidR="00447A78">
        <w:rPr>
          <w:rFonts w:ascii="Times New Roman" w:eastAsia="Times New Roman" w:hAnsi="Times New Roman" w:cs="Times New Roman"/>
          <w:sz w:val="24"/>
          <w:szCs w:val="24"/>
        </w:rPr>
        <w:t xml:space="preserve"> Bezieht man sich auf die absoluten Werte, arbeiten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 Menschen in KMU, welche einen Umsatz von knapp über zwei Billionen Euro machen. Dadurch lässt sich abschließend sagen, dass die KMU einen wichtigen Beitrag zur deutschen Wirtschaft leisten. Und gewisse andere Faktoren wie Mögliche Monopolstellungen und deren Folgen werden aus Gründen der Einfachheit weg gelassen. </w:t>
      </w:r>
    </w:p>
    <w:p w:rsidR="00F71FCB" w:rsidRDefault="00F71FCB" w:rsidP="00920FA2">
      <w:pPr>
        <w:pStyle w:val="berschrift1"/>
        <w:numPr>
          <w:ilvl w:val="0"/>
          <w:numId w:val="34"/>
        </w:numPr>
        <w:spacing w:line="360" w:lineRule="auto"/>
      </w:pPr>
      <w:bookmarkStart w:id="10" w:name="_Toc121476934"/>
      <w:r>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w:t>
      </w:r>
      <w:r w:rsidR="00707D2B">
        <w:rPr>
          <w:rFonts w:ascii="Times New Roman" w:hAnsi="Times New Roman" w:cs="Times New Roman"/>
          <w:sz w:val="24"/>
          <w:szCs w:val="24"/>
        </w:rPr>
        <w:t>komplette</w:t>
      </w:r>
      <w:r>
        <w:rPr>
          <w:rFonts w:ascii="Times New Roman" w:hAnsi="Times New Roman" w:cs="Times New Roman"/>
          <w:sz w:val="24"/>
          <w:szCs w:val="24"/>
        </w:rPr>
        <w:t xml:space="preserve">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MlQxODoxNDoxMi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(Wolf und Strohschen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yVDE4OjE0OjEy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w:t>
      </w:r>
      <w:r w:rsidR="00A60A58">
        <w:rPr>
          <w:rFonts w:ascii="Times New Roman" w:hAnsi="Times New Roman" w:cs="Times New Roman"/>
          <w:sz w:val="24"/>
          <w:szCs w:val="24"/>
        </w:rPr>
        <w:lastRenderedPageBreak/>
        <w:t xml:space="preserve">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JUMTg6MTQ6MTI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also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(Gadatsch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Aufgabe </w:t>
      </w:r>
      <w:proofErr w:type="spellStart"/>
      <w:r w:rsidR="00CE6907">
        <w:rPr>
          <w:rFonts w:ascii="Times New Roman" w:hAnsi="Times New Roman" w:cs="Times New Roman"/>
          <w:sz w:val="24"/>
          <w:szCs w:val="24"/>
        </w:rPr>
        <w:t>automatiesiert</w:t>
      </w:r>
      <w:proofErr w:type="spellEnd"/>
      <w:r w:rsidR="00CE6907">
        <w:rPr>
          <w:rFonts w:ascii="Times New Roman" w:hAnsi="Times New Roman" w:cs="Times New Roman"/>
          <w:sz w:val="24"/>
          <w:szCs w:val="24"/>
        </w:rPr>
        <w:t xml:space="preserve"> von 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Insgesamt lässt sich aber das Implementieren von IT-Systemen im </w:t>
      </w:r>
      <w:proofErr w:type="spellStart"/>
      <w:r w:rsidR="00167556">
        <w:rPr>
          <w:rFonts w:ascii="Times New Roman" w:hAnsi="Times New Roman" w:cs="Times New Roman"/>
          <w:sz w:val="24"/>
          <w:szCs w:val="24"/>
        </w:rPr>
        <w:t>Controllingbereich</w:t>
      </w:r>
      <w:proofErr w:type="spellEnd"/>
      <w:r w:rsidR="00167556">
        <w:rPr>
          <w:rFonts w:ascii="Times New Roman" w:hAnsi="Times New Roman" w:cs="Times New Roman"/>
          <w:sz w:val="24"/>
          <w:szCs w:val="24"/>
        </w:rPr>
        <w:t xml:space="preserve">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EndPr/>
        <w:sdtContent>
          <w:r w:rsidR="003C5A3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lQxODoxNDoxMi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1" w:name="_Toc121476935"/>
      <w:r>
        <w:t>Hilfsmittel des Controllings für die</w:t>
      </w:r>
      <w:r w:rsidR="00F71FCB">
        <w:t xml:space="preserve"> Praxis</w:t>
      </w:r>
      <w:bookmarkEnd w:id="11"/>
    </w:p>
    <w:p w:rsidR="00707D2B" w:rsidRDefault="00707D2B"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Klar können die KMU nicht einfach den Großen Unternehmen nachahmen, da, wie schon beschrieben, sie </w:t>
      </w:r>
      <w:r w:rsidR="00FD0979">
        <w:rPr>
          <w:rFonts w:ascii="Times New Roman" w:hAnsi="Times New Roman" w:cs="Times New Roman"/>
          <w:sz w:val="24"/>
          <w:szCs w:val="24"/>
        </w:rPr>
        <w:t>meist</w:t>
      </w:r>
      <w:r>
        <w:rPr>
          <w:rFonts w:ascii="Times New Roman" w:hAnsi="Times New Roman" w:cs="Times New Roman"/>
          <w:sz w:val="24"/>
          <w:szCs w:val="24"/>
        </w:rPr>
        <w:t xml:space="preserve"> die möglichen Mittel dazu haben. Es werden in diesem Kapitel ein paar mögliche Praktiken erwähnt, welche den Einsatz von Controlling in KMU ermöglicht oder auch vereinfacht. </w:t>
      </w:r>
    </w:p>
    <w:p w:rsidR="00FD0979"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Kapitel zum digitalen Wandel wurde bereits das Cloud Computing genannt. Eine einfache Methode für Unternehmen sich ein Netzwerk aufzubauen, mit denen sie die benötigten Daten sammeln und verarbeiten können. Durch das Cloud Computing können die </w:t>
      </w:r>
      <w:r w:rsidR="007F69D0">
        <w:rPr>
          <w:rFonts w:ascii="Times New Roman" w:hAnsi="Times New Roman" w:cs="Times New Roman"/>
          <w:sz w:val="24"/>
          <w:szCs w:val="24"/>
        </w:rPr>
        <w:t xml:space="preserve">benötigten </w:t>
      </w:r>
      <w:r>
        <w:rPr>
          <w:rFonts w:ascii="Times New Roman" w:hAnsi="Times New Roman" w:cs="Times New Roman"/>
          <w:sz w:val="24"/>
          <w:szCs w:val="24"/>
        </w:rPr>
        <w:t>IT</w:t>
      </w:r>
      <w:r w:rsidR="007F69D0">
        <w:rPr>
          <w:rFonts w:ascii="Times New Roman" w:hAnsi="Times New Roman" w:cs="Times New Roman"/>
          <w:sz w:val="24"/>
          <w:szCs w:val="24"/>
        </w:rPr>
        <w:t>-</w:t>
      </w:r>
      <w:r>
        <w:rPr>
          <w:rFonts w:ascii="Times New Roman" w:hAnsi="Times New Roman" w:cs="Times New Roman"/>
          <w:sz w:val="24"/>
          <w:szCs w:val="24"/>
        </w:rPr>
        <w:t xml:space="preserve">Systeme </w:t>
      </w:r>
      <w:r w:rsidR="00707511">
        <w:rPr>
          <w:rFonts w:ascii="Times New Roman" w:hAnsi="Times New Roman" w:cs="Times New Roman"/>
          <w:sz w:val="24"/>
          <w:szCs w:val="24"/>
        </w:rPr>
        <w:t>erworben und</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angepasst werden. </w:t>
      </w:r>
      <w:r w:rsidR="002D0F38">
        <w:rPr>
          <w:rFonts w:ascii="Times New Roman" w:hAnsi="Times New Roman" w:cs="Times New Roman"/>
          <w:sz w:val="24"/>
          <w:szCs w:val="24"/>
        </w:rPr>
        <w:t xml:space="preserve">Denn das „National Institute </w:t>
      </w:r>
      <w:proofErr w:type="spellStart"/>
      <w:r w:rsidR="002D0F38">
        <w:rPr>
          <w:rFonts w:ascii="Times New Roman" w:hAnsi="Times New Roman" w:cs="Times New Roman"/>
          <w:sz w:val="24"/>
          <w:szCs w:val="24"/>
        </w:rPr>
        <w:t>of</w:t>
      </w:r>
      <w:proofErr w:type="spellEnd"/>
      <w:r w:rsidR="002D0F38">
        <w:rPr>
          <w:rFonts w:ascii="Times New Roman" w:hAnsi="Times New Roman" w:cs="Times New Roman"/>
          <w:sz w:val="24"/>
          <w:szCs w:val="24"/>
        </w:rPr>
        <w:t xml:space="preserve"> Standards </w:t>
      </w:r>
      <w:proofErr w:type="spellStart"/>
      <w:r w:rsidR="002D0F38">
        <w:rPr>
          <w:rFonts w:ascii="Times New Roman" w:hAnsi="Times New Roman" w:cs="Times New Roman"/>
          <w:sz w:val="24"/>
          <w:szCs w:val="24"/>
        </w:rPr>
        <w:t>and</w:t>
      </w:r>
      <w:proofErr w:type="spellEnd"/>
      <w:r w:rsidR="002D0F38">
        <w:rPr>
          <w:rFonts w:ascii="Times New Roman" w:hAnsi="Times New Roman" w:cs="Times New Roman"/>
          <w:sz w:val="24"/>
          <w:szCs w:val="24"/>
        </w:rPr>
        <w:t xml:space="preserve"> Technology“ definiert das Cloud Computing nach drei </w:t>
      </w:r>
      <w:r w:rsidR="002D0F38">
        <w:rPr>
          <w:rFonts w:ascii="Times New Roman" w:hAnsi="Times New Roman" w:cs="Times New Roman"/>
          <w:sz w:val="24"/>
          <w:szCs w:val="24"/>
        </w:rPr>
        <w:lastRenderedPageBreak/>
        <w:t xml:space="preserve">grundlegenden Arten: </w:t>
      </w:r>
      <w:r w:rsidR="002D0F38" w:rsidRPr="002D0F38">
        <w:rPr>
          <w:rFonts w:ascii="Times New Roman" w:hAnsi="Times New Roman" w:cs="Times New Roman"/>
          <w:sz w:val="24"/>
          <w:szCs w:val="24"/>
        </w:rPr>
        <w:t>Infr</w:t>
      </w:r>
      <w:r w:rsidR="002D0F38">
        <w:rPr>
          <w:rFonts w:ascii="Times New Roman" w:hAnsi="Times New Roman" w:cs="Times New Roman"/>
          <w:sz w:val="24"/>
          <w:szCs w:val="24"/>
        </w:rPr>
        <w:t>astructure-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IaaS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w:t>
      </w:r>
      <w:proofErr w:type="spellStart"/>
      <w:r w:rsidR="002D0F38">
        <w:rPr>
          <w:rFonts w:ascii="Times New Roman" w:hAnsi="Times New Roman" w:cs="Times New Roman"/>
          <w:sz w:val="24"/>
          <w:szCs w:val="24"/>
        </w:rPr>
        <w:t>Platform</w:t>
      </w:r>
      <w:proofErr w:type="spellEnd"/>
      <w:r w:rsidR="002D0F38">
        <w:rPr>
          <w:rFonts w:ascii="Times New Roman" w:hAnsi="Times New Roman" w:cs="Times New Roman"/>
          <w:sz w:val="24"/>
          <w:szCs w:val="24"/>
        </w:rPr>
        <w:t>-</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PaaS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und Software-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Kurz gesagt handelt es sich hierbei um die Bereitstellung von Servern und Hardware (</w:t>
      </w:r>
      <w:proofErr w:type="spellStart"/>
      <w:r w:rsidR="002D0F38">
        <w:rPr>
          <w:rFonts w:ascii="Times New Roman" w:hAnsi="Times New Roman" w:cs="Times New Roman"/>
          <w:sz w:val="24"/>
          <w:szCs w:val="24"/>
        </w:rPr>
        <w:t>IaaS</w:t>
      </w:r>
      <w:proofErr w:type="spellEnd"/>
      <w:r w:rsidR="002D0F38">
        <w:rPr>
          <w:rFonts w:ascii="Times New Roman" w:hAnsi="Times New Roman" w:cs="Times New Roman"/>
          <w:sz w:val="24"/>
          <w:szCs w:val="24"/>
        </w:rPr>
        <w:t xml:space="preserve">), </w:t>
      </w:r>
      <w:r w:rsidR="00FD0979">
        <w:rPr>
          <w:rFonts w:ascii="Times New Roman" w:hAnsi="Times New Roman" w:cs="Times New Roman"/>
          <w:sz w:val="24"/>
          <w:szCs w:val="24"/>
        </w:rPr>
        <w:t>einer Entwicklungsplattform mit ggf. Betriebssystem und Datenbank (</w:t>
      </w:r>
      <w:proofErr w:type="spellStart"/>
      <w:r w:rsidR="00FD0979">
        <w:rPr>
          <w:rFonts w:ascii="Times New Roman" w:hAnsi="Times New Roman" w:cs="Times New Roman"/>
          <w:sz w:val="24"/>
          <w:szCs w:val="24"/>
        </w:rPr>
        <w:t>PaaS</w:t>
      </w:r>
      <w:proofErr w:type="spellEnd"/>
      <w:r w:rsidR="00FD0979">
        <w:rPr>
          <w:rFonts w:ascii="Times New Roman" w:hAnsi="Times New Roman" w:cs="Times New Roman"/>
          <w:sz w:val="24"/>
          <w:szCs w:val="24"/>
        </w:rPr>
        <w:t xml:space="preserve">)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 xml:space="preserve">der Hardware und der Aufwand für die Entwicklung der benötigten Software fällt weg. Somit macht das </w:t>
      </w:r>
      <w:proofErr w:type="gramStart"/>
      <w:r w:rsidR="00A63526">
        <w:rPr>
          <w:rFonts w:ascii="Times New Roman" w:hAnsi="Times New Roman" w:cs="Times New Roman"/>
          <w:sz w:val="24"/>
          <w:szCs w:val="24"/>
        </w:rPr>
        <w:t>Cloud Computing</w:t>
      </w:r>
      <w:proofErr w:type="gramEnd"/>
      <w:r w:rsidR="00A63526">
        <w:rPr>
          <w:rFonts w:ascii="Times New Roman" w:hAnsi="Times New Roman" w:cs="Times New Roman"/>
          <w:sz w:val="24"/>
          <w:szCs w:val="24"/>
        </w:rPr>
        <w:t xml:space="preserve"> die Datensammlung erschwinglicher und das Controlling</w:t>
      </w:r>
      <w:r w:rsidR="00181B3E">
        <w:rPr>
          <w:rFonts w:ascii="Times New Roman" w:hAnsi="Times New Roman" w:cs="Times New Roman"/>
          <w:sz w:val="24"/>
          <w:szCs w:val="24"/>
        </w:rPr>
        <w:t xml:space="preserve"> kann sich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w:t>
      </w:r>
      <w:proofErr w:type="gramStart"/>
      <w:r w:rsidR="00D15CD8">
        <w:rPr>
          <w:rFonts w:ascii="Times New Roman" w:hAnsi="Times New Roman" w:cs="Times New Roman"/>
          <w:sz w:val="24"/>
          <w:szCs w:val="24"/>
        </w:rPr>
        <w:t>Cloud Computing</w:t>
      </w:r>
      <w:proofErr w:type="gramEnd"/>
      <w:r w:rsidR="00D15CD8">
        <w:rPr>
          <w:rFonts w:ascii="Times New Roman" w:hAnsi="Times New Roman" w:cs="Times New Roman"/>
          <w:sz w:val="24"/>
          <w:szCs w:val="24"/>
        </w:rPr>
        <w:t xml:space="preserve"> ermöglicht folglich eine effizientere Arbeitsweise der Controller, wodurch das Kosten-Leistungsverhältnis.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EndPr/>
        <w:sdtContent>
          <w:r w:rsidR="00F467AB">
            <w:rPr>
              <w:rFonts w:ascii="Times New Roman" w:hAnsi="Times New Roman" w:cs="Times New Roman"/>
              <w:sz w:val="24"/>
              <w:szCs w:val="24"/>
            </w:rPr>
            <w:fldChar w:fldCharType="begin"/>
          </w:r>
          <w:r w:rsidR="00F467AB">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NUMTY6NTc6NDA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467AB">
            <w:rPr>
              <w:rFonts w:ascii="Times New Roman" w:hAnsi="Times New Roman" w:cs="Times New Roman"/>
              <w:sz w:val="24"/>
              <w:szCs w:val="24"/>
            </w:rPr>
            <w:t>(Kristandl et al. 2015)</w:t>
          </w:r>
          <w:r w:rsidR="00F467AB">
            <w:rPr>
              <w:rFonts w:ascii="Times New Roman" w:hAnsi="Times New Roman" w:cs="Times New Roman"/>
              <w:sz w:val="24"/>
              <w:szCs w:val="24"/>
            </w:rPr>
            <w:fldChar w:fldCharType="end"/>
          </w:r>
        </w:sdtContent>
      </w:sdt>
    </w:p>
    <w:p w:rsidR="00D15CD8" w:rsidRDefault="008A0331"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 weiteres Hilfsmittel sind ERP-Systeme, welche fast nicht mehr in den Unternehmen wegzudenken sind. Sie sollen interne Prozesse </w:t>
      </w:r>
      <w:r w:rsidR="00D15CD8">
        <w:rPr>
          <w:rFonts w:ascii="Times New Roman" w:hAnsi="Times New Roman" w:cs="Times New Roman"/>
          <w:sz w:val="24"/>
          <w:szCs w:val="24"/>
        </w:rPr>
        <w:t xml:space="preserve">unterstützen, wobei die Abteilung kaum eine Rolle spielt, denn ERP-Systeme können individuell angepasst werden.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EndPr/>
        <w:sdtContent>
          <w:r w:rsidR="00D15CD8">
            <w:rPr>
              <w:rFonts w:ascii="Times New Roman" w:hAnsi="Times New Roman" w:cs="Times New Roman"/>
              <w:sz w:val="24"/>
              <w:szCs w:val="24"/>
            </w:rPr>
            <w:fldChar w:fldCharType="begin"/>
          </w:r>
          <w:r w:rsidR="00D15CD8">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zoxNjoxNyswMTowMCIsIk1vZGlmaWVkQnkiOiJfR2FibGVyIEFyYmVpdHNwbGF0eiIsIklkIjoiMjQ5ODAzMzMtN2M4ZC00ZDY4LWE0NzMtNGJiZmQ2MzIyMGJjIiwiTW9kaWZpZWRPbiI6IjIwMjItMTItMTNUMTc6MTY6MzM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D15CD8">
            <w:rPr>
              <w:rFonts w:ascii="Times New Roman" w:hAnsi="Times New Roman" w:cs="Times New Roman"/>
              <w:sz w:val="24"/>
              <w:szCs w:val="24"/>
            </w:rPr>
            <w:t>(Gärtner und Slacik 2015, S. 306f.)</w:t>
          </w:r>
          <w:r w:rsidR="00D15CD8">
            <w:rPr>
              <w:rFonts w:ascii="Times New Roman" w:hAnsi="Times New Roman" w:cs="Times New Roman"/>
              <w:sz w:val="24"/>
              <w:szCs w:val="24"/>
            </w:rPr>
            <w:fldChar w:fldCharType="end"/>
          </w:r>
        </w:sdtContent>
      </w:sdt>
      <w:r w:rsidR="00E0322A">
        <w:rPr>
          <w:rFonts w:ascii="Times New Roman" w:hAnsi="Times New Roman" w:cs="Times New Roman"/>
          <w:sz w:val="24"/>
          <w:szCs w:val="24"/>
        </w:rPr>
        <w:t xml:space="preserve"> </w:t>
      </w:r>
      <w:r w:rsidR="00D15CD8">
        <w:rPr>
          <w:rFonts w:ascii="Times New Roman" w:hAnsi="Times New Roman" w:cs="Times New Roman"/>
          <w:sz w:val="24"/>
          <w:szCs w:val="24"/>
        </w:rPr>
        <w:t>Vom Effekt unterscheidet sich das ERP-System dem Cloud Computing nur beschränkt</w:t>
      </w:r>
      <w:r w:rsidR="00E0322A">
        <w:rPr>
          <w:rFonts w:ascii="Times New Roman" w:hAnsi="Times New Roman" w:cs="Times New Roman"/>
          <w:sz w:val="24"/>
          <w:szCs w:val="24"/>
        </w:rPr>
        <w:t xml:space="preserve">, wenn die Annahme getroffen wird, dass die Systeme auf die Anwendung angepasst </w:t>
      </w:r>
      <w:bookmarkStart w:id="12" w:name="_GoBack"/>
      <w:r w:rsidR="00E0322A">
        <w:rPr>
          <w:rFonts w:ascii="Times New Roman" w:hAnsi="Times New Roman" w:cs="Times New Roman"/>
          <w:sz w:val="24"/>
          <w:szCs w:val="24"/>
        </w:rPr>
        <w:t>ist</w:t>
      </w:r>
      <w:r w:rsidR="00D15CD8">
        <w:rPr>
          <w:rFonts w:ascii="Times New Roman" w:hAnsi="Times New Roman" w:cs="Times New Roman"/>
          <w:sz w:val="24"/>
          <w:szCs w:val="24"/>
        </w:rPr>
        <w:t xml:space="preserve">. </w:t>
      </w:r>
      <w:r w:rsidR="00E0322A">
        <w:rPr>
          <w:rFonts w:ascii="Times New Roman" w:hAnsi="Times New Roman" w:cs="Times New Roman"/>
          <w:sz w:val="24"/>
          <w:szCs w:val="24"/>
        </w:rPr>
        <w:t xml:space="preserve">Denn das ERP-System hilft dem Controlling ebenfalls in der Datensammlung, wodurch die </w:t>
      </w:r>
      <w:bookmarkEnd w:id="12"/>
      <w:r w:rsidR="00E0322A">
        <w:rPr>
          <w:rFonts w:ascii="Times New Roman" w:hAnsi="Times New Roman" w:cs="Times New Roman"/>
          <w:sz w:val="24"/>
          <w:szCs w:val="24"/>
        </w:rPr>
        <w:t xml:space="preserve">gewonnene Zeit für bspw. Analysen u.Ä. verwendet werden kann.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EndPr/>
        <w:sdtContent>
          <w:r w:rsidR="00E0322A">
            <w:rPr>
              <w:rFonts w:ascii="Times New Roman" w:hAnsi="Times New Roman" w:cs="Times New Roman"/>
              <w:sz w:val="24"/>
              <w:szCs w:val="24"/>
            </w:rPr>
            <w:fldChar w:fldCharType="begin"/>
          </w:r>
          <w:r w:rsidR="00E0322A">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zoxNjoxNyswMTowMCIsIk1vZGlmaWVkQnkiOiJfR2FibGVyIEFyYmVpdHNwbGF0eiIsIklkIjoiMjQ5ODAzMzMtN2M4ZC00ZDY4LWE0NzMtNGJiZmQ2MzIyMGJjIiwiTW9kaWZpZWRPbiI6IjIwMjItMTItMTNUMTc6MTY6MzM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E0322A">
            <w:rPr>
              <w:rFonts w:ascii="Times New Roman" w:hAnsi="Times New Roman" w:cs="Times New Roman"/>
              <w:sz w:val="24"/>
              <w:szCs w:val="24"/>
            </w:rPr>
            <w:t>(Gärtner und Slacik 2015, S. 318f.)</w:t>
          </w:r>
          <w:r w:rsidR="00E0322A">
            <w:rPr>
              <w:rFonts w:ascii="Times New Roman" w:hAnsi="Times New Roman" w:cs="Times New Roman"/>
              <w:sz w:val="24"/>
              <w:szCs w:val="24"/>
            </w:rPr>
            <w:fldChar w:fldCharType="end"/>
          </w:r>
        </w:sdtContent>
      </w:sdt>
    </w:p>
    <w:p w:rsidR="00D15CD8" w:rsidRDefault="00D44A4B" w:rsidP="00BA197B">
      <w:pPr>
        <w:spacing w:line="360" w:lineRule="auto"/>
        <w:jc w:val="both"/>
        <w:rPr>
          <w:rFonts w:ascii="Times New Roman" w:hAnsi="Times New Roman" w:cs="Times New Roman"/>
          <w:sz w:val="24"/>
          <w:szCs w:val="24"/>
        </w:rPr>
      </w:pPr>
      <w:r w:rsidRPr="00BA197B">
        <w:rPr>
          <w:rFonts w:ascii="Times New Roman" w:hAnsi="Times New Roman" w:cs="Times New Roman"/>
          <w:sz w:val="24"/>
          <w:szCs w:val="24"/>
        </w:rPr>
        <w:t>Nichts desto trotz sind die zwei erwähnten Maßnahmen nicht fü</w:t>
      </w:r>
      <w:r w:rsidR="00E152AF" w:rsidRPr="00BA197B">
        <w:rPr>
          <w:rFonts w:ascii="Times New Roman" w:hAnsi="Times New Roman" w:cs="Times New Roman"/>
          <w:sz w:val="24"/>
          <w:szCs w:val="24"/>
        </w:rPr>
        <w:t>r jeden geeignet und umsetzbar. D</w:t>
      </w:r>
      <w:r w:rsidRPr="00BA197B">
        <w:rPr>
          <w:rFonts w:ascii="Times New Roman" w:hAnsi="Times New Roman" w:cs="Times New Roman"/>
          <w:sz w:val="24"/>
          <w:szCs w:val="24"/>
        </w:rPr>
        <w:t>iese Umstände</w:t>
      </w:r>
      <w:r w:rsidR="00E152AF" w:rsidRPr="00BA197B">
        <w:rPr>
          <w:rFonts w:ascii="Times New Roman" w:hAnsi="Times New Roman" w:cs="Times New Roman"/>
          <w:sz w:val="24"/>
          <w:szCs w:val="24"/>
        </w:rPr>
        <w:t xml:space="preserve"> herrschen meist bei den Kleinst- und kleinen Unternehmen (KKU). Abhilfe </w:t>
      </w:r>
      <w:r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w:t>
      </w:r>
      <w:proofErr w:type="spellStart"/>
      <w:r w:rsidR="00E152AF" w:rsidRPr="00BA197B">
        <w:rPr>
          <w:rFonts w:ascii="Times New Roman" w:hAnsi="Times New Roman" w:cs="Times New Roman"/>
          <w:sz w:val="24"/>
          <w:szCs w:val="24"/>
        </w:rPr>
        <w:t>Controllingaufgaben</w:t>
      </w:r>
      <w:proofErr w:type="spellEnd"/>
      <w:r w:rsidR="00E152AF" w:rsidRPr="00BA197B">
        <w:rPr>
          <w:rFonts w:ascii="Times New Roman" w:hAnsi="Times New Roman" w:cs="Times New Roman"/>
          <w:sz w:val="24"/>
          <w:szCs w:val="24"/>
        </w:rPr>
        <w:t xml:space="preserve">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B7410D" w:rsidRPr="00BA197B">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zo1NTozNyswMTowMCIsIk1vZGlmaWVkQnkiOiJfR2FibGVyIEFyYmVpdHNwbGF0eiIsIklkIjoiYWViNmU3ZDQtZTBjNi00YWJlLTgwOTYtOTIyYTg4YzU0MGVkIiwiTW9kaWZpZWRPbiI6IjIwMjItMTItMTNUMTc6NTU6Mzc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c6NTU6MzcrMDE6MDAiLCJNb2RpZmllZEJ5IjoiX0dhYmxlciBBcmJlaXRzcGxhdHoiLCJJZCI6IjVkNGY5YzRhLWM3NTAtNDhmZC1iYzEyLTAyYWI4ZTE4ODU0MyIsIk1vZGlmaWVkT24iOiIyMDIyLTEyLTEzVDE5OjA4OjA2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B7410D" w:rsidRPr="00BA197B">
            <w:rPr>
              <w:rFonts w:ascii="Times New Roman" w:eastAsia="Times New Roman" w:hAnsi="Times New Roman" w:cs="Times New Roman"/>
              <w:sz w:val="24"/>
              <w:szCs w:val="24"/>
              <w:lang w:eastAsia="de-DE"/>
            </w:rPr>
            <w:t>(Mayr 2015, 330-332)</w:t>
          </w:r>
          <w:r w:rsidR="00B7410D" w:rsidRPr="00BA197B">
            <w:rPr>
              <w:rFonts w:ascii="Times New Roman" w:eastAsia="Times New Roman" w:hAnsi="Times New Roman" w:cs="Times New Roman"/>
              <w:sz w:val="24"/>
              <w:szCs w:val="24"/>
              <w:lang w:eastAsia="de-DE"/>
            </w:rPr>
            <w:fldChar w:fldCharType="end"/>
          </w:r>
        </w:sdtContent>
      </w:sdt>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3" w:name="_Toc121476936"/>
      <w:r>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w:t>
      </w:r>
      <w:r w:rsidR="008E7C63">
        <w:rPr>
          <w:rFonts w:ascii="Times New Roman" w:hAnsi="Times New Roman" w:cs="Times New Roman"/>
          <w:sz w:val="24"/>
          <w:szCs w:val="24"/>
        </w:rPr>
        <w:lastRenderedPageBreak/>
        <w:t xml:space="preserve">Kontext vor allem Unternehmen, haben unterschiedliche Vorstellungen und Werte welche sie verfolgen. Infolgedessen ergeben sich verschiedene präferierte Nutzen, die höchstens </w:t>
      </w:r>
      <w:proofErr w:type="spellStart"/>
      <w:r w:rsidR="008E7C63">
        <w:rPr>
          <w:rFonts w:ascii="Times New Roman" w:hAnsi="Times New Roman" w:cs="Times New Roman"/>
          <w:sz w:val="24"/>
          <w:szCs w:val="24"/>
        </w:rPr>
        <w:t>ordinaler</w:t>
      </w:r>
      <w:proofErr w:type="spellEnd"/>
      <w:r w:rsidR="008E7C63">
        <w:rPr>
          <w:rFonts w:ascii="Times New Roman" w:hAnsi="Times New Roman" w:cs="Times New Roman"/>
          <w:sz w:val="24"/>
          <w:szCs w:val="24"/>
        </w:rPr>
        <w:t xml:space="preserve">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372A1"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Wichtig hierbei ist, dass das klassische Controlling weiterhin Bestand hat. Diese ist nämlich, durch ihre Kontroll- und Rechnungsfunktion ein bedeutendes Element, wenn es um die Widerstandsfähigkeit geht. Auch dysfunktionales Verhalten kann durch ihre Stelle unterbunden </w:t>
      </w:r>
      <w:r w:rsidR="00CD73AB">
        <w:rPr>
          <w:rFonts w:ascii="Times New Roman" w:hAnsi="Times New Roman" w:cs="Times New Roman"/>
          <w:sz w:val="24"/>
          <w:szCs w:val="24"/>
        </w:rPr>
        <w:lastRenderedPageBreak/>
        <w:t>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w:t>
      </w:r>
      <w:proofErr w:type="spellStart"/>
      <w:r w:rsidR="006C26D3">
        <w:rPr>
          <w:rFonts w:ascii="Times New Roman" w:hAnsi="Times New Roman" w:cs="Times New Roman"/>
          <w:sz w:val="24"/>
          <w:szCs w:val="24"/>
        </w:rPr>
        <w:t>Partnering</w:t>
      </w:r>
      <w:proofErr w:type="spellEnd"/>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yVDE4OjE0OjEy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Mit dem Hintergrund aus Kapitel 3.1, dass KMU</w:t>
      </w:r>
      <w:r w:rsidR="00BA197B">
        <w:rPr>
          <w:rFonts w:ascii="Times New Roman" w:hAnsi="Times New Roman" w:cs="Times New Roman"/>
          <w:sz w:val="24"/>
          <w:szCs w:val="24"/>
        </w:rPr>
        <w:t xml:space="preserve"> oft </w:t>
      </w:r>
      <w:r w:rsidR="00C372A1">
        <w:rPr>
          <w:rFonts w:ascii="Times New Roman" w:hAnsi="Times New Roman" w:cs="Times New Roman"/>
          <w:sz w:val="24"/>
          <w:szCs w:val="24"/>
        </w:rPr>
        <w:t xml:space="preserve">flache Hierarchien aufweisen, kann das Controlling auch ohne die Rolle des Business Partner einen Beitrag zur organisationalen Resilienz </w:t>
      </w:r>
      <w:r w:rsidR="00BA197B">
        <w:rPr>
          <w:rFonts w:ascii="Times New Roman" w:hAnsi="Times New Roman" w:cs="Times New Roman"/>
          <w:sz w:val="24"/>
          <w:szCs w:val="24"/>
        </w:rPr>
        <w:t>leisten. Hier ist die Größe entscheidend.</w:t>
      </w:r>
    </w:p>
    <w:p w:rsidR="002A4863" w:rsidRDefault="002A4863" w:rsidP="00A23EF8">
      <w:pPr>
        <w:spacing w:line="360" w:lineRule="auto"/>
        <w:jc w:val="both"/>
        <w:rPr>
          <w:rFonts w:ascii="Times New Roman" w:hAnsi="Times New Roman" w:cs="Times New Roman"/>
          <w:sz w:val="24"/>
          <w:szCs w:val="24"/>
        </w:rPr>
      </w:pPr>
    </w:p>
    <w:p w:rsidR="00BA197B" w:rsidRPr="00A23EF8" w:rsidRDefault="006C14FD"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Controlling als Managementinstrument steigert </w:t>
      </w:r>
      <w:proofErr w:type="spellStart"/>
      <w:r>
        <w:rPr>
          <w:rFonts w:ascii="Times New Roman" w:hAnsi="Times New Roman" w:cs="Times New Roman"/>
          <w:sz w:val="24"/>
          <w:szCs w:val="24"/>
        </w:rPr>
        <w:t>effizeinz</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wetbewerbsfähigkeit</w:t>
      </w:r>
      <w:proofErr w:type="spellEnd"/>
      <w:r>
        <w:rPr>
          <w:rFonts w:ascii="Times New Roman" w:hAnsi="Times New Roman" w:cs="Times New Roman"/>
          <w:sz w:val="24"/>
          <w:szCs w:val="24"/>
        </w:rPr>
        <w:t>;</w:t>
      </w:r>
    </w:p>
    <w:p w:rsidR="00C84D38" w:rsidRDefault="00C84D38" w:rsidP="000E28D7">
      <w:pPr>
        <w:spacing w:line="360" w:lineRule="auto"/>
      </w:pPr>
    </w:p>
    <w:p w:rsidR="006F7A6A" w:rsidRDefault="006F7A6A" w:rsidP="000E28D7">
      <w:pPr>
        <w:spacing w:line="360" w:lineRule="auto"/>
      </w:pPr>
      <w:r>
        <w:t>Es kann nicht jeder Business Partner sein -- Überleitung!</w:t>
      </w:r>
    </w:p>
    <w:p w:rsidR="00C84D38" w:rsidRDefault="00C66A7D" w:rsidP="000E28D7">
      <w:pPr>
        <w:spacing w:line="360" w:lineRule="auto"/>
      </w:pPr>
      <w:r>
        <w:t xml:space="preserve">Ggf. </w:t>
      </w:r>
      <w:proofErr w:type="spellStart"/>
      <w:r>
        <w:t>synergien</w:t>
      </w:r>
      <w:proofErr w:type="spellEnd"/>
    </w:p>
    <w:p w:rsidR="00FF0B62" w:rsidRDefault="00FF0B62" w:rsidP="000E28D7">
      <w:pPr>
        <w:spacing w:line="360" w:lineRule="auto"/>
      </w:pPr>
      <w:r>
        <w:t>Kennzahlen für Bankgespräche (Mayr)</w:t>
      </w:r>
      <w:r w:rsidR="00BA197B">
        <w:t xml:space="preserve"> Banken geben eher weniger </w:t>
      </w:r>
      <w:proofErr w:type="spellStart"/>
      <w:r w:rsidR="00BA197B">
        <w:t>kredite</w:t>
      </w:r>
      <w:proofErr w:type="spellEnd"/>
    </w:p>
    <w:p w:rsidR="00C84D38" w:rsidRDefault="00BA197B" w:rsidP="000E28D7">
      <w:pPr>
        <w:spacing w:line="360" w:lineRule="auto"/>
      </w:pPr>
      <w:r>
        <w:rPr>
          <w:rFonts w:ascii="Times New Roman" w:hAnsi="Times New Roman" w:cs="Times New Roman"/>
          <w:sz w:val="24"/>
          <w:szCs w:val="24"/>
        </w:rPr>
        <w:t xml:space="preserve">Einschätzung </w:t>
      </w:r>
      <w:proofErr w:type="spellStart"/>
      <w:r>
        <w:rPr>
          <w:rFonts w:ascii="Times New Roman" w:hAnsi="Times New Roman" w:cs="Times New Roman"/>
          <w:sz w:val="24"/>
          <w:szCs w:val="24"/>
        </w:rPr>
        <w:t>digitalisierungskredite</w:t>
      </w:r>
      <w:proofErr w:type="spellEnd"/>
      <w:r>
        <w:rPr>
          <w:rFonts w:ascii="Times New Roman" w:hAnsi="Times New Roman" w:cs="Times New Roman"/>
          <w:sz w:val="24"/>
          <w:szCs w:val="24"/>
        </w:rPr>
        <w:t xml:space="preserve"> gegenüber </w:t>
      </w:r>
      <w:proofErr w:type="spellStart"/>
      <w:r>
        <w:rPr>
          <w:rFonts w:ascii="Times New Roman" w:hAnsi="Times New Roman" w:cs="Times New Roman"/>
          <w:sz w:val="24"/>
          <w:szCs w:val="24"/>
        </w:rPr>
        <w:t>sachinvest</w:t>
      </w:r>
      <w:proofErr w:type="spellEnd"/>
      <w:r>
        <w:rPr>
          <w:rFonts w:ascii="Times New Roman" w:hAnsi="Times New Roman" w:cs="Times New Roman"/>
          <w:sz w:val="24"/>
          <w:szCs w:val="24"/>
        </w:rPr>
        <w:t xml:space="preserve"> schlecht /</w:t>
      </w:r>
      <w:proofErr w:type="spellStart"/>
      <w:r>
        <w:rPr>
          <w:rFonts w:ascii="Times New Roman" w:hAnsi="Times New Roman" w:cs="Times New Roman"/>
          <w:sz w:val="24"/>
          <w:szCs w:val="24"/>
        </w:rPr>
        <w:t>econstor</w:t>
      </w:r>
      <w:proofErr w:type="spellEnd"/>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Herausforderungen</w:t>
      </w:r>
      <w:bookmarkEnd w:id="14"/>
      <w:r w:rsidR="00684A9E">
        <w:t xml:space="preserve"> und Nachteile</w:t>
      </w:r>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w:t>
      </w:r>
      <w:r>
        <w:rPr>
          <w:rFonts w:ascii="Times New Roman" w:hAnsi="Times New Roman" w:cs="Times New Roman"/>
          <w:sz w:val="24"/>
          <w:szCs w:val="24"/>
        </w:rPr>
        <w:lastRenderedPageBreak/>
        <w:t xml:space="preserve">Implementierung oder auch eine Aufrechterhaltung des Controllings in KMU, dargestellt werden. </w:t>
      </w:r>
    </w:p>
    <w:p w:rsidR="005346E2" w:rsidRDefault="005346E2"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Installation oder auch bei der Instandhaltung sind Kosten verbunden, welche vor allem bei den Kleineren Unternehmen oft nicht realisierbar sind. Falls das Kapital für diese Beschaffung aufgebracht werden kann, ist damit noch nicht alles getan. Ein weiteres Problem der KMU ist wie in Kapitel 3.1 beschrieben, dass sie limitierte humane Ressourcen haben. Somit ist es auch eine Herausforderung die benötigten Arbeitskräfte zu besorgen, falls man diese noch nicht haben sollte. </w:t>
      </w:r>
    </w:p>
    <w:p w:rsidR="005346E2" w:rsidRDefault="005346E2" w:rsidP="0031495F">
      <w:pPr>
        <w:spacing w:line="360" w:lineRule="auto"/>
        <w:jc w:val="both"/>
        <w:rPr>
          <w:rFonts w:ascii="Times New Roman" w:hAnsi="Times New Roman" w:cs="Times New Roman"/>
          <w:sz w:val="24"/>
          <w:szCs w:val="24"/>
        </w:rPr>
      </w:pP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Einschätzung </w:t>
      </w:r>
      <w:proofErr w:type="spellStart"/>
      <w:r>
        <w:rPr>
          <w:rFonts w:ascii="Times New Roman" w:hAnsi="Times New Roman" w:cs="Times New Roman"/>
          <w:sz w:val="24"/>
          <w:szCs w:val="24"/>
        </w:rPr>
        <w:t>digitalisierungskredite</w:t>
      </w:r>
      <w:proofErr w:type="spellEnd"/>
      <w:r>
        <w:rPr>
          <w:rFonts w:ascii="Times New Roman" w:hAnsi="Times New Roman" w:cs="Times New Roman"/>
          <w:sz w:val="24"/>
          <w:szCs w:val="24"/>
        </w:rPr>
        <w:t xml:space="preserve"> gegenüber </w:t>
      </w:r>
      <w:proofErr w:type="spellStart"/>
      <w:r>
        <w:rPr>
          <w:rFonts w:ascii="Times New Roman" w:hAnsi="Times New Roman" w:cs="Times New Roman"/>
          <w:sz w:val="24"/>
          <w:szCs w:val="24"/>
        </w:rPr>
        <w:t>sachinvest</w:t>
      </w:r>
      <w:proofErr w:type="spellEnd"/>
      <w:r>
        <w:rPr>
          <w:rFonts w:ascii="Times New Roman" w:hAnsi="Times New Roman" w:cs="Times New Roman"/>
          <w:sz w:val="24"/>
          <w:szCs w:val="24"/>
        </w:rPr>
        <w:t xml:space="preserve"> schlecht /</w:t>
      </w:r>
      <w:proofErr w:type="spellStart"/>
      <w:r>
        <w:rPr>
          <w:rFonts w:ascii="Times New Roman" w:hAnsi="Times New Roman" w:cs="Times New Roman"/>
          <w:sz w:val="24"/>
          <w:szCs w:val="24"/>
        </w:rPr>
        <w:t>econstor</w:t>
      </w:r>
      <w:proofErr w:type="spellEnd"/>
    </w:p>
    <w:p w:rsidR="000507E1" w:rsidRDefault="00244E60" w:rsidP="000E28D7">
      <w:pPr>
        <w:spacing w:line="360" w:lineRule="auto"/>
      </w:pPr>
      <w:r>
        <w:t xml:space="preserve">Datenintegration -&gt; einheitliches IT </w:t>
      </w:r>
      <w:proofErr w:type="spellStart"/>
      <w:r>
        <w:t>system</w:t>
      </w:r>
      <w:proofErr w:type="spellEnd"/>
      <w:r>
        <w:t xml:space="preserve"> soll verhindern, dass Datenqualitätsabfall entsteht und die </w:t>
      </w:r>
      <w:proofErr w:type="spellStart"/>
      <w:r>
        <w:t>aufbereitung</w:t>
      </w:r>
      <w:proofErr w:type="spellEnd"/>
      <w:r>
        <w:t xml:space="preserve"> nicht zu kompliziert wird</w:t>
      </w:r>
    </w:p>
    <w:p w:rsidR="00244E60" w:rsidRDefault="00244E60" w:rsidP="000E28D7">
      <w:pPr>
        <w:spacing w:line="360" w:lineRule="auto"/>
      </w:pPr>
      <w:r>
        <w:t xml:space="preserve">Standardisierung -&gt; einheitliche </w:t>
      </w:r>
      <w:proofErr w:type="spellStart"/>
      <w:r>
        <w:t>defintionen</w:t>
      </w:r>
      <w:proofErr w:type="spellEnd"/>
      <w:r>
        <w:t xml:space="preserve"> für </w:t>
      </w:r>
      <w:proofErr w:type="spellStart"/>
      <w:r>
        <w:t>kennzahlen</w:t>
      </w:r>
      <w:proofErr w:type="spellEnd"/>
      <w:r>
        <w:t xml:space="preserve"> zum </w:t>
      </w:r>
      <w:proofErr w:type="spellStart"/>
      <w:r>
        <w:t>beispiel</w:t>
      </w:r>
      <w:proofErr w:type="spellEnd"/>
    </w:p>
    <w:p w:rsidR="00244E60" w:rsidRDefault="00244E60" w:rsidP="000E28D7">
      <w:pPr>
        <w:spacing w:line="360" w:lineRule="auto"/>
      </w:pPr>
      <w:r>
        <w:t xml:space="preserve">Rechtemanagement -&gt; es muss entschieden werden wer </w:t>
      </w:r>
      <w:proofErr w:type="spellStart"/>
      <w:r>
        <w:t>befugnis</w:t>
      </w:r>
      <w:proofErr w:type="spellEnd"/>
      <w:r>
        <w:t xml:space="preserve"> zur </w:t>
      </w:r>
      <w:proofErr w:type="spellStart"/>
      <w:r>
        <w:t>änderung</w:t>
      </w:r>
      <w:proofErr w:type="spellEnd"/>
      <w:r>
        <w:t xml:space="preserve"> der </w:t>
      </w:r>
      <w:proofErr w:type="spellStart"/>
      <w:r>
        <w:t>daten</w:t>
      </w:r>
      <w:proofErr w:type="spellEnd"/>
      <w:r>
        <w:t xml:space="preserve">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t xml:space="preserve">Wolf </w:t>
      </w:r>
      <w:proofErr w:type="spellStart"/>
      <w:r>
        <w:t>Heidlmayr</w:t>
      </w:r>
      <w:proofErr w:type="spellEnd"/>
      <w:r>
        <w:t xml:space="preserve"> kap5</w:t>
      </w:r>
    </w:p>
    <w:p w:rsidR="00B7410D" w:rsidRDefault="00B7410D" w:rsidP="00B7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Kritik: Vergangenheitsorientierung; </w:t>
      </w:r>
      <w:proofErr w:type="spellStart"/>
      <w:r>
        <w:rPr>
          <w:rFonts w:ascii="Times New Roman" w:hAnsi="Times New Roman" w:cs="Times New Roman"/>
          <w:sz w:val="24"/>
          <w:szCs w:val="24"/>
        </w:rPr>
        <w:t>brachenkentnis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fehltunternehmen</w:t>
      </w:r>
      <w:proofErr w:type="spellEnd"/>
      <w:r>
        <w:rPr>
          <w:rFonts w:ascii="Times New Roman" w:hAnsi="Times New Roman" w:cs="Times New Roman"/>
          <w:sz w:val="24"/>
          <w:szCs w:val="24"/>
        </w:rPr>
        <w:t xml:space="preserve"> auch;</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lastRenderedPageBreak/>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 xml:space="preserve">Kaum Empirische Studien </w:t>
      </w:r>
      <w:proofErr w:type="spellStart"/>
      <w:r>
        <w:rPr>
          <w:rFonts w:ascii="Times New Roman" w:hAnsi="Times New Roman" w:cs="Times New Roman"/>
          <w:sz w:val="24"/>
          <w:szCs w:val="24"/>
        </w:rPr>
        <w:t>Analsysen</w:t>
      </w:r>
      <w:proofErr w:type="spellEnd"/>
      <w:r>
        <w:rPr>
          <w:rFonts w:ascii="Times New Roman" w:hAnsi="Times New Roman" w:cs="Times New Roman"/>
          <w:sz w:val="24"/>
          <w:szCs w:val="24"/>
        </w:rPr>
        <w:t xml:space="preserve">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bei BP </w:t>
      </w:r>
      <w:proofErr w:type="spellStart"/>
      <w:r>
        <w:rPr>
          <w:rFonts w:ascii="Times New Roman" w:hAnsi="Times New Roman" w:cs="Times New Roman"/>
          <w:sz w:val="24"/>
          <w:szCs w:val="24"/>
        </w:rPr>
        <w:t>einsatz</w:t>
      </w:r>
      <w:proofErr w:type="spellEnd"/>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BA197B" w:rsidRDefault="00E67583" w:rsidP="00BA197B">
          <w:pPr>
            <w:pStyle w:val="CitaviBibliographyHeading"/>
          </w:pPr>
          <w:r w:rsidRPr="00CF568C">
            <w:fldChar w:fldCharType="begin"/>
          </w:r>
          <w:r w:rsidRPr="00CF568C">
            <w:instrText>ADDIN CitaviBibliography</w:instrText>
          </w:r>
          <w:r w:rsidRPr="00CF568C">
            <w:fldChar w:fldCharType="separate"/>
          </w:r>
          <w:r w:rsidR="00BA197B">
            <w:t>Literaturverzeichnis</w:t>
          </w:r>
        </w:p>
        <w:p w:rsidR="00BA197B" w:rsidRDefault="00BA197B" w:rsidP="00BA197B">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BA197B" w:rsidRDefault="00BA197B" w:rsidP="00BA197B">
          <w:pPr>
            <w:pStyle w:val="CitaviBibliographyEntry"/>
          </w:pPr>
          <w:bookmarkStart w:id="16" w:name="_CTVL001b38bb628ff6d4fda840367249c7a2a19"/>
          <w:bookmarkEnd w:id="15"/>
          <w:r>
            <w:t xml:space="preserve">Gadatsch, Andreas (2021): Möglichkeiten von Big Data im Controlling zielorientiert nutzen. In: </w:t>
          </w:r>
          <w:bookmarkEnd w:id="16"/>
          <w:r w:rsidRPr="00BA197B">
            <w:rPr>
              <w:i/>
            </w:rPr>
            <w:t xml:space="preserve">Rethinking Finance </w:t>
          </w:r>
          <w:r w:rsidRPr="00BA197B">
            <w:t>(3), S. 34–41.</w:t>
          </w:r>
        </w:p>
        <w:p w:rsidR="00BA197B" w:rsidRDefault="00BA197B" w:rsidP="00BA197B">
          <w:pPr>
            <w:pStyle w:val="CitaviBibliographyEntry"/>
          </w:pPr>
          <w:bookmarkStart w:id="17" w:name="_CTVL001249803337c8d4d68a4734bbfd63220bc"/>
          <w:r>
            <w:t xml:space="preserve">Gärtner, Bernhard; Slacik, Johannes (2015): Die Rolle des Controllers bei der ERP-System-Nutzung - Qualitativ-empirische Ergebnisse aus deutschsprachigen Mittelunternehmen. In: </w:t>
          </w:r>
          <w:bookmarkEnd w:id="17"/>
          <w:r w:rsidRPr="00BA197B">
            <w:rPr>
              <w:i/>
            </w:rPr>
            <w:t xml:space="preserve">Zeitschr. für KMU und Entrepreneurship </w:t>
          </w:r>
          <w:r w:rsidRPr="00BA197B">
            <w:t>(03-04), S. 305–323.</w:t>
          </w:r>
        </w:p>
        <w:p w:rsidR="00BA197B" w:rsidRDefault="00BA197B" w:rsidP="00BA197B">
          <w:pPr>
            <w:pStyle w:val="CitaviBibliographyEntry"/>
          </w:pPr>
          <w:bookmarkStart w:id="18" w:name="_CTVL001ece11b801a5440c1a43e936cbc3ba043"/>
          <w:r>
            <w:t xml:space="preserve">Kricsfalussy, Andreas (2008): Unternehmensziele Die Etablierung neuartiger Zielkategorien1. In: </w:t>
          </w:r>
          <w:bookmarkEnd w:id="18"/>
          <w:r w:rsidRPr="00BA197B">
            <w:rPr>
              <w:i/>
            </w:rPr>
            <w:t xml:space="preserve">ZFO - Zeitschrift Führung und Organisation </w:t>
          </w:r>
          <w:r w:rsidRPr="00BA197B">
            <w:t>(01), S. 33.</w:t>
          </w:r>
        </w:p>
        <w:p w:rsidR="00BA197B" w:rsidRDefault="00BA197B" w:rsidP="00BA197B">
          <w:pPr>
            <w:pStyle w:val="CitaviBibliographyEntry"/>
          </w:pPr>
          <w:bookmarkStart w:id="19" w:name="_CTVL0011e30860b620c476ba95b5d9235a5b36b"/>
          <w:r>
            <w:t xml:space="preserve">Kristandl, Gerhard; Quinn, Martin; Strauß, Erik (2015): Controlling und Cloud Computing - Wie die Cloud den Informationsfluss in KMU ändert. In: </w:t>
          </w:r>
          <w:bookmarkEnd w:id="19"/>
          <w:r w:rsidRPr="00BA197B">
            <w:rPr>
              <w:i/>
            </w:rPr>
            <w:t xml:space="preserve">Zeitschr. für KMU und Entrepreneurship </w:t>
          </w:r>
          <w:r w:rsidRPr="00BA197B">
            <w:t>(03-04), S. 281–304.</w:t>
          </w:r>
        </w:p>
        <w:p w:rsidR="00BA197B" w:rsidRDefault="00BA197B" w:rsidP="00BA197B">
          <w:pPr>
            <w:pStyle w:val="CitaviBibliographyEntry"/>
          </w:pPr>
          <w:bookmarkStart w:id="20"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BA197B" w:rsidRDefault="00BA197B" w:rsidP="00BA197B">
          <w:pPr>
            <w:pStyle w:val="CitaviBibliographyEntry"/>
          </w:pPr>
          <w:bookmarkStart w:id="21" w:name="_CTVL0013979ada235554b9b8da2c4a4d2d75800"/>
          <w:bookmarkEnd w:id="20"/>
          <w:r>
            <w:lastRenderedPageBreak/>
            <w:t>Lindner, Dominic (2019): KMU im digitalen Wandel. Ergebnisse empirischer Studien zu Arbeit, Führung und Organisation. Wiesbaden: Springer Gabler (SpringerLink Bücher).</w:t>
          </w:r>
        </w:p>
        <w:p w:rsidR="00BA197B" w:rsidRDefault="00BA197B" w:rsidP="00BA197B">
          <w:pPr>
            <w:pStyle w:val="CitaviBibliographyEntry"/>
          </w:pPr>
          <w:bookmarkStart w:id="22" w:name="_CTVL0015d4f9c4ac75048fdbc1202ab8e188543"/>
          <w:bookmarkEnd w:id="21"/>
          <w:r>
            <w:t xml:space="preserve">Mayr, Albert (2015): Controlling in Klein- und Kleinstunternehmen durch Steuerberater. In: </w:t>
          </w:r>
          <w:bookmarkEnd w:id="22"/>
          <w:r w:rsidRPr="00BA197B">
            <w:rPr>
              <w:i/>
            </w:rPr>
            <w:t xml:space="preserve">Zeitschr. für KMU und Entrepreneurship </w:t>
          </w:r>
          <w:r w:rsidRPr="00BA197B">
            <w:t>(03-04), S. 325–334.</w:t>
          </w:r>
        </w:p>
        <w:p w:rsidR="00BA197B" w:rsidRDefault="00BA197B" w:rsidP="00BA197B">
          <w:pPr>
            <w:pStyle w:val="CitaviBibliographyEntry"/>
          </w:pPr>
          <w:bookmarkStart w:id="23"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BA197B" w:rsidRDefault="00BA197B" w:rsidP="00BA197B">
          <w:pPr>
            <w:pStyle w:val="CitaviBibliographyEntry"/>
          </w:pPr>
          <w:bookmarkStart w:id="24" w:name="_CTVL0010334711142b5430ebaeefd3d73c561f3"/>
          <w:bookmarkEnd w:id="23"/>
          <w:r>
            <w:t xml:space="preserve">Prof. Dr. Jennifer Kunz; Alessandra Mur (2022): Controlling als Business Partnering - Ein wichtiger Baustein organisationaler Resilienz?! In: </w:t>
          </w:r>
          <w:bookmarkEnd w:id="24"/>
          <w:r w:rsidRPr="00BA197B">
            <w:rPr>
              <w:i/>
            </w:rPr>
            <w:t xml:space="preserve">Betriebswirtschaftliche Forschung und Praxis </w:t>
          </w:r>
          <w:r w:rsidRPr="00BA197B">
            <w:t>(5), S. 578–622.</w:t>
          </w:r>
        </w:p>
        <w:p w:rsidR="00BA197B" w:rsidRDefault="00BA197B" w:rsidP="00BA197B">
          <w:pPr>
            <w:pStyle w:val="CitaviBibliographyEntry"/>
          </w:pPr>
          <w:bookmarkStart w:id="25"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BA197B" w:rsidRDefault="00BA197B" w:rsidP="00BA197B">
          <w:pPr>
            <w:pStyle w:val="CitaviBibliographyEntry"/>
          </w:pPr>
          <w:bookmarkStart w:id="26" w:name="_CTVL00107d9a3256835440286fa2d313c5a3009"/>
          <w:bookmarkEnd w:id="25"/>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BA197B" w:rsidRDefault="00BA197B" w:rsidP="00BA197B">
          <w:pPr>
            <w:pStyle w:val="CitaviBibliographyEntry"/>
          </w:pPr>
          <w:bookmarkStart w:id="27" w:name="_CTVL001b02aa02a9a2949c193016fcd545b2e25"/>
          <w:bookmarkEnd w:id="26"/>
          <w:r>
            <w:t>Weber, Jürgen (2012): Die zehn Zukunftsthemen des Controllings. Innovationen, Trends und Herausforderungen: John Wiley &amp; Sons.</w:t>
          </w:r>
        </w:p>
        <w:p w:rsidR="00BA197B" w:rsidRDefault="00BA197B" w:rsidP="00BA197B">
          <w:pPr>
            <w:pStyle w:val="CitaviBibliographyEntry"/>
          </w:pPr>
          <w:bookmarkStart w:id="28" w:name="_CTVL0011472a0fbe5994e9299a0694862007b04"/>
          <w:bookmarkEnd w:id="27"/>
          <w:r>
            <w:t xml:space="preserve">Weißenberger, Barbara E.; Wolf, Sebastian; Neumann-Giesen, Axel; Elbers, Gunnar (2012): Controller als Business Partner: Ansatzpunkte für eine erfolgreiche Umsetzung des Rollenwandels. In: </w:t>
          </w:r>
          <w:bookmarkEnd w:id="28"/>
          <w:r w:rsidRPr="00BA197B">
            <w:rPr>
              <w:i/>
            </w:rPr>
            <w:t xml:space="preserve">Z Control Manag </w:t>
          </w:r>
          <w:r w:rsidRPr="00BA197B">
            <w:t>56 (5), S. 330–335. DOI: 10.1365/s12176-012-0627-8.</w:t>
          </w:r>
        </w:p>
        <w:p w:rsidR="00BA197B" w:rsidRDefault="00BA197B" w:rsidP="00BA197B">
          <w:pPr>
            <w:pStyle w:val="CitaviBibliographyEntry"/>
          </w:pPr>
          <w:bookmarkStart w:id="29"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BA197B" w:rsidP="00BA197B">
          <w:pPr>
            <w:pStyle w:val="CitaviBibliographyEntry"/>
          </w:pPr>
          <w:bookmarkStart w:id="30" w:name="_CTVL001351ccc0293f444ea93402c22c7790ca0"/>
          <w:bookmarkEnd w:id="29"/>
          <w:r>
            <w:t xml:space="preserve">Wolf, Thomas; Strohschen, Jacqueline-Helena (2018): Digitalisierung: Definition und Reife. In: </w:t>
          </w:r>
          <w:bookmarkEnd w:id="30"/>
          <w:r w:rsidRPr="00BA197B">
            <w:rPr>
              <w:i/>
            </w:rPr>
            <w:t xml:space="preserve">Informatik Spektrum </w:t>
          </w:r>
          <w:r w:rsidRPr="00BA197B">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D2E" w:rsidRDefault="00016D2E" w:rsidP="000E28D7">
      <w:pPr>
        <w:spacing w:after="0" w:line="240" w:lineRule="auto"/>
      </w:pPr>
      <w:r>
        <w:separator/>
      </w:r>
    </w:p>
  </w:endnote>
  <w:endnote w:type="continuationSeparator" w:id="0">
    <w:p w:rsidR="00016D2E" w:rsidRDefault="00016D2E"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D2E" w:rsidRDefault="00016D2E" w:rsidP="000E28D7">
      <w:pPr>
        <w:spacing w:after="0" w:line="240" w:lineRule="auto"/>
      </w:pPr>
      <w:r>
        <w:separator/>
      </w:r>
    </w:p>
  </w:footnote>
  <w:footnote w:type="continuationSeparator" w:id="0">
    <w:p w:rsidR="00016D2E" w:rsidRDefault="00016D2E"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6F7A6A" w:rsidRDefault="006F7A6A">
        <w:pPr>
          <w:pStyle w:val="Kopfzeile"/>
          <w:jc w:val="right"/>
        </w:pPr>
        <w:r>
          <w:fldChar w:fldCharType="begin"/>
        </w:r>
        <w:r>
          <w:instrText>PAGE   \* MERGEFORMAT</w:instrText>
        </w:r>
        <w:r>
          <w:fldChar w:fldCharType="separate"/>
        </w:r>
        <w:r w:rsidR="00B7169F">
          <w:rPr>
            <w:noProof/>
          </w:rPr>
          <w:t>II</w:t>
        </w:r>
        <w:r>
          <w:fldChar w:fldCharType="end"/>
        </w:r>
      </w:p>
    </w:sdtContent>
  </w:sdt>
  <w:p w:rsidR="006F7A6A" w:rsidRDefault="006F7A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6F7A6A" w:rsidRDefault="006F7A6A">
        <w:pPr>
          <w:pStyle w:val="Kopfzeile"/>
          <w:jc w:val="right"/>
        </w:pPr>
        <w:r>
          <w:fldChar w:fldCharType="begin"/>
        </w:r>
        <w:r>
          <w:instrText>PAGE   \* MERGEFORMAT</w:instrText>
        </w:r>
        <w:r>
          <w:fldChar w:fldCharType="separate"/>
        </w:r>
        <w:r w:rsidR="00B7169F">
          <w:rPr>
            <w:noProof/>
          </w:rPr>
          <w:t>9</w:t>
        </w:r>
        <w:r>
          <w:fldChar w:fldCharType="end"/>
        </w:r>
      </w:p>
    </w:sdtContent>
  </w:sdt>
  <w:p w:rsidR="006F7A6A" w:rsidRDefault="006F7A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43BA"/>
    <w:rsid w:val="000507E1"/>
    <w:rsid w:val="00076E74"/>
    <w:rsid w:val="000A71AB"/>
    <w:rsid w:val="000C63B2"/>
    <w:rsid w:val="000D10E4"/>
    <w:rsid w:val="000D6D73"/>
    <w:rsid w:val="000D7F30"/>
    <w:rsid w:val="000E28D7"/>
    <w:rsid w:val="000E57CA"/>
    <w:rsid w:val="000E7D30"/>
    <w:rsid w:val="00120102"/>
    <w:rsid w:val="00131919"/>
    <w:rsid w:val="00145096"/>
    <w:rsid w:val="00164566"/>
    <w:rsid w:val="00167556"/>
    <w:rsid w:val="00181B3E"/>
    <w:rsid w:val="001C4001"/>
    <w:rsid w:val="001D661D"/>
    <w:rsid w:val="001E4077"/>
    <w:rsid w:val="001F5487"/>
    <w:rsid w:val="002125F7"/>
    <w:rsid w:val="00243B92"/>
    <w:rsid w:val="00244E60"/>
    <w:rsid w:val="002532C5"/>
    <w:rsid w:val="00276B14"/>
    <w:rsid w:val="0029248A"/>
    <w:rsid w:val="002928E8"/>
    <w:rsid w:val="002963BC"/>
    <w:rsid w:val="002966FE"/>
    <w:rsid w:val="002A2814"/>
    <w:rsid w:val="002A4863"/>
    <w:rsid w:val="002D0F38"/>
    <w:rsid w:val="003117BD"/>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47A78"/>
    <w:rsid w:val="00457D91"/>
    <w:rsid w:val="004601FC"/>
    <w:rsid w:val="004707A9"/>
    <w:rsid w:val="00486FF5"/>
    <w:rsid w:val="00493782"/>
    <w:rsid w:val="0049569D"/>
    <w:rsid w:val="004B4516"/>
    <w:rsid w:val="004C758C"/>
    <w:rsid w:val="004C7972"/>
    <w:rsid w:val="004D03DA"/>
    <w:rsid w:val="004D46D6"/>
    <w:rsid w:val="00506710"/>
    <w:rsid w:val="005128AB"/>
    <w:rsid w:val="00513EB3"/>
    <w:rsid w:val="005346E2"/>
    <w:rsid w:val="00550228"/>
    <w:rsid w:val="00552D2E"/>
    <w:rsid w:val="0056000D"/>
    <w:rsid w:val="005A5BC6"/>
    <w:rsid w:val="005B0A1E"/>
    <w:rsid w:val="005C4FD6"/>
    <w:rsid w:val="005C6E23"/>
    <w:rsid w:val="005D5FCB"/>
    <w:rsid w:val="005F1B90"/>
    <w:rsid w:val="005F1F01"/>
    <w:rsid w:val="005F4F9E"/>
    <w:rsid w:val="0060315B"/>
    <w:rsid w:val="006110E1"/>
    <w:rsid w:val="00677069"/>
    <w:rsid w:val="006800E3"/>
    <w:rsid w:val="00684A9E"/>
    <w:rsid w:val="0069628D"/>
    <w:rsid w:val="006B6A8F"/>
    <w:rsid w:val="006C1483"/>
    <w:rsid w:val="006C14FD"/>
    <w:rsid w:val="006C26D3"/>
    <w:rsid w:val="006C4291"/>
    <w:rsid w:val="006D217E"/>
    <w:rsid w:val="006E3F15"/>
    <w:rsid w:val="006F7A6A"/>
    <w:rsid w:val="00707511"/>
    <w:rsid w:val="00707D2B"/>
    <w:rsid w:val="00712AB8"/>
    <w:rsid w:val="0071392C"/>
    <w:rsid w:val="00724074"/>
    <w:rsid w:val="00732552"/>
    <w:rsid w:val="007371F8"/>
    <w:rsid w:val="00741D20"/>
    <w:rsid w:val="007436E0"/>
    <w:rsid w:val="007A1C01"/>
    <w:rsid w:val="007F1D14"/>
    <w:rsid w:val="007F4651"/>
    <w:rsid w:val="007F69D0"/>
    <w:rsid w:val="008343F2"/>
    <w:rsid w:val="008416BA"/>
    <w:rsid w:val="00853417"/>
    <w:rsid w:val="00881477"/>
    <w:rsid w:val="00881FD5"/>
    <w:rsid w:val="00897E65"/>
    <w:rsid w:val="008A0331"/>
    <w:rsid w:val="008A14DF"/>
    <w:rsid w:val="008B254D"/>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04094"/>
    <w:rsid w:val="00A23EF8"/>
    <w:rsid w:val="00A30DAA"/>
    <w:rsid w:val="00A366A0"/>
    <w:rsid w:val="00A442A6"/>
    <w:rsid w:val="00A53F70"/>
    <w:rsid w:val="00A574AB"/>
    <w:rsid w:val="00A60A58"/>
    <w:rsid w:val="00A63526"/>
    <w:rsid w:val="00A77C58"/>
    <w:rsid w:val="00B230FE"/>
    <w:rsid w:val="00B429C7"/>
    <w:rsid w:val="00B7169F"/>
    <w:rsid w:val="00B7410D"/>
    <w:rsid w:val="00B81DCF"/>
    <w:rsid w:val="00B8380A"/>
    <w:rsid w:val="00BA197B"/>
    <w:rsid w:val="00BA7F4F"/>
    <w:rsid w:val="00BC09C0"/>
    <w:rsid w:val="00BD67CB"/>
    <w:rsid w:val="00BE6548"/>
    <w:rsid w:val="00C0468D"/>
    <w:rsid w:val="00C047ED"/>
    <w:rsid w:val="00C05867"/>
    <w:rsid w:val="00C07398"/>
    <w:rsid w:val="00C372A1"/>
    <w:rsid w:val="00C374A1"/>
    <w:rsid w:val="00C66A7D"/>
    <w:rsid w:val="00C84D38"/>
    <w:rsid w:val="00C95623"/>
    <w:rsid w:val="00C964A2"/>
    <w:rsid w:val="00C964F8"/>
    <w:rsid w:val="00CB1D14"/>
    <w:rsid w:val="00CB4F36"/>
    <w:rsid w:val="00CC2403"/>
    <w:rsid w:val="00CD2228"/>
    <w:rsid w:val="00CD73AB"/>
    <w:rsid w:val="00CE6486"/>
    <w:rsid w:val="00CE675A"/>
    <w:rsid w:val="00CE6907"/>
    <w:rsid w:val="00CF4E36"/>
    <w:rsid w:val="00CF568C"/>
    <w:rsid w:val="00D12F94"/>
    <w:rsid w:val="00D15CD8"/>
    <w:rsid w:val="00D330D3"/>
    <w:rsid w:val="00D42020"/>
    <w:rsid w:val="00D4412F"/>
    <w:rsid w:val="00D44A4B"/>
    <w:rsid w:val="00DC1589"/>
    <w:rsid w:val="00DF55C4"/>
    <w:rsid w:val="00E0322A"/>
    <w:rsid w:val="00E152AF"/>
    <w:rsid w:val="00E24D64"/>
    <w:rsid w:val="00E535A4"/>
    <w:rsid w:val="00E67583"/>
    <w:rsid w:val="00E75388"/>
    <w:rsid w:val="00E84FBD"/>
    <w:rsid w:val="00E877C9"/>
    <w:rsid w:val="00EB0B0A"/>
    <w:rsid w:val="00ED045B"/>
    <w:rsid w:val="00ED31B2"/>
    <w:rsid w:val="00EE05C6"/>
    <w:rsid w:val="00EE276D"/>
    <w:rsid w:val="00EE69A8"/>
    <w:rsid w:val="00F10781"/>
    <w:rsid w:val="00F21221"/>
    <w:rsid w:val="00F23871"/>
    <w:rsid w:val="00F2464B"/>
    <w:rsid w:val="00F374FE"/>
    <w:rsid w:val="00F467AB"/>
    <w:rsid w:val="00F47FE3"/>
    <w:rsid w:val="00F71FCB"/>
    <w:rsid w:val="00F77016"/>
    <w:rsid w:val="00F83DED"/>
    <w:rsid w:val="00F93041"/>
    <w:rsid w:val="00FB6798"/>
    <w:rsid w:val="00FC40C7"/>
    <w:rsid w:val="00FD0979"/>
    <w:rsid w:val="00FF0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234D2"/>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F77CD"/>
    <w:rsid w:val="00230237"/>
    <w:rsid w:val="002765BB"/>
    <w:rsid w:val="003D4811"/>
    <w:rsid w:val="00567827"/>
    <w:rsid w:val="00573A00"/>
    <w:rsid w:val="00804726"/>
    <w:rsid w:val="00823547"/>
    <w:rsid w:val="008708AD"/>
    <w:rsid w:val="008760B4"/>
    <w:rsid w:val="008C2A8D"/>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A2BC-22E3-4CFA-8B1C-D3D80F41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20811</Words>
  <Characters>131113</Characters>
  <Application>Microsoft Office Word</Application>
  <DocSecurity>0</DocSecurity>
  <Lines>1092</Lines>
  <Paragraphs>303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23</cp:revision>
  <dcterms:created xsi:type="dcterms:W3CDTF">2022-12-07T18:33:00Z</dcterms:created>
  <dcterms:modified xsi:type="dcterms:W3CDTF">2022-12-14T09:28:00Z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8">
    <vt:lpwstr>C:\Users\Gabler Arbeitsplatz\Documents\Citavi 6\Projects\Seminar Management und Controlling\Seminar Management und Controlling.ctv6</vt:lpwstr>
  </property>
  <property fmtid="{D5CDD505-2E9C-101B-9397-08002B2CF9AE}" pid="6" name="CitaviDocumentProperty_1">
    <vt:lpwstr>6.3.0.0</vt:lpwstr>
  </property>
</Properties>
</file>