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Clarity: Scientific Foundations &amp; Behavioral Architecture</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document outlines the evidence-based psychological and cognitive frameworks that govern Clarity's design, safety protocols, and skill distillation process. It is designed to demonstrate clinical and behavioral rigor to hackathon judges.</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r>
    </w:p>
    <w:p w:rsidR="00000000" w:rsidDel="00000000" w:rsidP="00000000" w:rsidRDefault="00000000" w:rsidRPr="00000000" w14:paraId="00000005">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 Cognitive Load and Mental Health Literacy</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The Science:</w:t>
      </w:r>
      <w:r w:rsidDel="00000000" w:rsidR="00000000" w:rsidRPr="00000000">
        <w:rPr>
          <w:rtl w:val="0"/>
        </w:rPr>
        <w:t xml:space="preserve"> Cognitive Load Theory (Sweller, 1988) and Working Memory Capacity research (Cowan, 2001) demonstrate that the brain can hold roughly 4 chunks of novel information simultaneously. Acute stress and anxiety severely degrade prefrontal cortex functioning, drastically reducing this capacity.</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Application in Clarity:</w:t>
      </w:r>
      <w:r w:rsidDel="00000000" w:rsidR="00000000" w:rsidRPr="00000000">
        <w:rPr>
          <w:rtl w:val="0"/>
        </w:rPr>
        <w:t xml:space="preserve"> Clarity is distilled to communicate at an 8th-grade reading level. By eliminating medical jargon and utilizing plain-language psychoeducation (distilled from sources like 29k), Clarity minimizes extraneous cognitive load. This ensures that users in distress can process the information without experiencing decision fatigue or cognitive overload.</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r>
    </w:p>
    <w:p w:rsidR="00000000" w:rsidDel="00000000" w:rsidP="00000000" w:rsidRDefault="00000000" w:rsidRPr="00000000" w14:paraId="00000009">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 The Trust &amp; Safety Architecture</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The Science:</w:t>
      </w:r>
      <w:r w:rsidDel="00000000" w:rsidR="00000000" w:rsidRPr="00000000">
        <w:rPr>
          <w:rtl w:val="0"/>
        </w:rPr>
        <w:t xml:space="preserve"> The Stereotype Content Model (Fiske et al., 2007) establishes that humans evaluate trust on two rapid dimensions: Warmth (intent to help) and Competence (ability to execute). Warmth must be established first for Competence to be trusted. Explicitly stating limitations also increases credibility (Pratkanis &amp; Aronson).</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Application in Clarity:</w:t>
      </w:r>
      <w:r w:rsidDel="00000000" w:rsidR="00000000" w:rsidRPr="00000000">
        <w:rPr>
          <w:rtl w:val="0"/>
        </w:rPr>
        <w:t xml:space="preserve"> Clarity's skill is distilled to satisfy this model:</w:t>
      </w:r>
    </w:p>
    <w:p w:rsidR="00000000" w:rsidDel="00000000" w:rsidP="00000000" w:rsidRDefault="00000000" w:rsidRPr="00000000" w14:paraId="0000000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Warmth:</w:t>
      </w:r>
      <w:r w:rsidDel="00000000" w:rsidR="00000000" w:rsidRPr="00000000">
        <w:rPr>
          <w:rtl w:val="0"/>
        </w:rPr>
        <w:t xml:space="preserve"> The empathetic, non-judgmental tone is extracted from open-source psychoeducation materials.</w:t>
      </w:r>
    </w:p>
    <w:p w:rsidR="00000000" w:rsidDel="00000000" w:rsidP="00000000" w:rsidRDefault="00000000" w:rsidRPr="00000000" w14:paraId="0000000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Competence:</w:t>
      </w:r>
      <w:r w:rsidDel="00000000" w:rsidR="00000000" w:rsidRPr="00000000">
        <w:rPr>
          <w:rtl w:val="0"/>
        </w:rPr>
        <w:t xml:space="preserve"> The factual grounding is distilled from clinical standards (e.g., WHO mhGAP Intervention Guide).</w:t>
      </w:r>
    </w:p>
    <w:p w:rsidR="00000000" w:rsidDel="00000000" w:rsidP="00000000" w:rsidRDefault="00000000" w:rsidRPr="00000000" w14:paraId="0000000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Transparency:</w:t>
      </w:r>
      <w:r w:rsidDel="00000000" w:rsidR="00000000" w:rsidRPr="00000000">
        <w:rPr>
          <w:rtl w:val="0"/>
        </w:rPr>
        <w:t xml:space="preserve"> Clarity's hardcoded scope enforcement (explicitly stating it cannot diagnose or prescribe) utilizes the "two-sided argument" persuasion principle, drastically increasing the user's trust in the educational information it provides.</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r>
    </w:p>
    <w:p w:rsidR="00000000" w:rsidDel="00000000" w:rsidP="00000000" w:rsidRDefault="00000000" w:rsidRPr="00000000" w14:paraId="00000010">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 Crisis Interception &amp; Friction Reduction</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The Science:</w:t>
      </w:r>
      <w:r w:rsidDel="00000000" w:rsidR="00000000" w:rsidRPr="00000000">
        <w:rPr>
          <w:rtl w:val="0"/>
        </w:rPr>
        <w:t xml:space="preserve"> During high-arousal negative emotional states (fear, acute crisis), sympathetic nervous system activation suppresses deliberate, analytical decision-making (System 2 thinking, Kahneman, 2011). Behavior requires maximum ability and minimum friction in these states.</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Application in Clarity:</w:t>
      </w:r>
      <w:r w:rsidDel="00000000" w:rsidR="00000000" w:rsidRPr="00000000">
        <w:rPr>
          <w:rtl w:val="0"/>
        </w:rPr>
        <w:t xml:space="preserve"> Clarity does not attempt to clinically de-escalate crises using a generative model, as this introduces dangerous latency and variable friction. Instead, it utilizes a pre-processing safeguard that detects crisis keywords and instantly routes the user to the 988 Suicide &amp; Crisis Lifeline. This applies friction reduction to the most critical action a user can take, bypassing the need for cognitive deliberation during a crisis.</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r>
    </w:p>
    <w:p w:rsidR="00000000" w:rsidDel="00000000" w:rsidP="00000000" w:rsidRDefault="00000000" w:rsidRPr="00000000" w14:paraId="00000014">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 Autonomy-Supportive Engagement</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The Science:</w:t>
      </w:r>
      <w:r w:rsidDel="00000000" w:rsidR="00000000" w:rsidRPr="00000000">
        <w:rPr>
          <w:rtl w:val="0"/>
        </w:rPr>
        <w:t xml:space="preserve"> Self-Determination Theory (Deci &amp; Ryan) and Motivational Interviewing (Miller &amp; Rollnick) prove that autonomy—the feeling that one's actions are self-determined—is required for genuine behavior change. Directives and unsolicited advice trigger psychological reactance, causing users to reject the information.</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Application in Clarity:</w:t>
      </w:r>
      <w:r w:rsidDel="00000000" w:rsidR="00000000" w:rsidRPr="00000000">
        <w:rPr>
          <w:rtl w:val="0"/>
        </w:rPr>
        <w:t xml:space="preserve"> Clarity acts as a literacy companion, not a clinician. By focusing on education rather than prescription, it avoids triggering reactance. It provides users with the vocabulary and frameworks to understand their mental health, satisfying the psychological need for competence while preserving their autonomy to seek professional care on their own terms.</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