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rPr>
          <w:rFonts w:ascii="Calibri" w:hAnsi="Calibri" w:eastAsia="Calibri"/>
          <w:color w:val="8A6600"/>
        </w:rPr>
        <w:t>EXECUTABLE RESEARCH BASELINE</w:t>
      </w:r>
    </w:p>
    <w:p>
      <w:pPr>
        <w:spacing w:before="1360" w:after="160"/>
        <w:jc w:val="center"/>
      </w:pPr>
      <w:r>
        <w:rPr>
          <w:rFonts w:ascii="Calibri" w:hAnsi="Calibri" w:eastAsia="Calibri"/>
          <w:b/>
          <w:color w:val="0B2545"/>
          <w:sz w:val="60"/>
        </w:rPr>
        <w:t>README+ 0.1</w:t>
      </w:r>
    </w:p>
    <w:p>
      <w:pPr>
        <w:spacing w:after="480"/>
        <w:jc w:val="center"/>
      </w:pPr>
      <w:r>
        <w:rPr>
          <w:rFonts w:ascii="Calibri" w:hAnsi="Calibri" w:eastAsia="Calibri"/>
          <w:color w:val="1F4D78"/>
          <w:sz w:val="28"/>
        </w:rPr>
        <w:t>The Complete Readable Architecture for Architecture+ 0.1</w:t>
      </w:r>
    </w:p>
    <w:tbl>
      <w:tblPr>
        <w:tblW w:type="dxa" w:w="9360"/>
        <w:tblLayout w:type="fixed"/>
        <w:tblLook w:firstColumn="1" w:firstRow="1" w:lastColumn="0" w:lastRow="0" w:noHBand="0" w:noVBand="1" w:val="04A0"/>
        <w:tblInd w:w="120" w:type="dxa"/>
        <w:tblBorders>
          <w:top w:val="single" w:sz="0" w:space="0" w:color="E8EEF5"/>
          <w:left w:val="single" w:sz="0" w:space="0" w:color="E8EEF5"/>
          <w:bottom w:val="single" w:sz="0" w:space="0" w:color="E8EEF5"/>
          <w:right w:val="single" w:sz="0" w:space="0" w:color="E8EEF5"/>
          <w:insideH w:val="single" w:sz="0" w:space="0" w:color="E8EEF5"/>
          <w:insideV w:val="single" w:sz="0" w:space="0" w:color="E8EEF5"/>
        </w:tblBorders>
      </w:tblPr>
      <w:tblGrid>
        <w:gridCol w:w="9360"/>
      </w:tblGrid>
      <w:tr>
        <w:trPr>
          <w:trHeight w:hRule="atLeast"/>
          <w:cantSplit w:val="true"/>
          <w:tblHeader w:val="true"/>
        </w:trPr>
        <w:tc>
          <w:tcPr>
            <w:tcW w:type="dxa" w:w="9360"/>
            <w:tcMar>
              <w:top w:w="80" w:type="dxa"/>
              <w:start w:w="120" w:type="dxa"/>
              <w:bottom w:w="80" w:type="dxa"/>
              <w:end w:w="120" w:type="dxa"/>
            </w:tcMar>
            <w:shd w:fill="E8EEF5" w:val="clear"/>
          </w:tcPr>
          <w:p>
            <w:pPr>
              <w:spacing w:before="20" w:after="20" w:line="276" w:lineRule="auto"/>
            </w:pPr>
            <w:r>
              <w:rPr>
                <w:rFonts w:ascii="Calibri" w:hAnsi="Calibri" w:eastAsia="Calibri"/>
                <w:b/>
                <w:color w:val="2E74B5"/>
                <w:sz w:val="17"/>
              </w:rPr>
              <w:t xml:space="preserve">DEFINING LINE  </w:t>
            </w:r>
            <w:r>
              <w:rPr>
                <w:rFonts w:ascii="Calibri" w:hAnsi="Calibri" w:eastAsia="Calibri"/>
                <w:color w:val="0B2545"/>
                <w:sz w:val="20"/>
              </w:rPr>
              <w:t>Architecture+ is the open architecture by which intelligence becomes work, work meets reality, and reality changes what comes next.</w:t>
            </w:r>
          </w:p>
        </w:tc>
      </w:tr>
    </w:tbl>
    <w:p>
      <w:pPr>
        <w:spacing w:after="0"/>
      </w:pPr>
    </w:p>
    <w:p>
      <w:pPr>
        <w:pStyle w:val="Lead"/>
        <w:jc w:val="center"/>
      </w:pPr>
      <w:r>
        <w:rPr>
          <w:rFonts w:ascii="Calibri" w:hAnsi="Calibri" w:eastAsia="Calibri"/>
          <w:color w:val="0B2545"/>
        </w:rPr>
        <w:t>Form freely. Find what changes the Return. Bind only what earns the difference. Learn only from admitted consequence.</w:t>
      </w:r>
    </w:p>
    <w:p>
      <w:pPr>
        <w:pStyle w:val="Kicker"/>
      </w:pPr>
      <w:r>
        <w:rPr>
          <w:rFonts w:ascii="Calibri" w:hAnsi="Calibri" w:eastAsia="Calibri"/>
          <w:color w:val="2E74B5"/>
        </w:rPr>
        <w:t>WHAT THIS IS</w:t>
      </w:r>
    </w:p>
    <w:p>
      <w:r>
        <w:rPr>
          <w:rFonts w:ascii="Calibri" w:hAnsi="Calibri" w:eastAsia="Calibri"/>
        </w:rPr>
        <w:t>An open architecture for inquiry, creation, action, consequence, and learning. This file is the human-resolution carrier: readable enough to operate, complete enough to expose the structure, and deliberately smaller than the code packet.</w:t>
      </w:r>
    </w:p>
    <w:p>
      <w:pPr>
        <w:pStyle w:val="Kicker"/>
      </w:pPr>
      <w:r>
        <w:rPr>
          <w:rFonts w:ascii="Calibri" w:hAnsi="Calibri" w:eastAsia="Calibri"/>
          <w:color w:val="2E74B5"/>
        </w:rPr>
        <w:t>WHAT TO DO FIRST</w:t>
      </w:r>
    </w:p>
    <w:p>
      <w:pPr>
        <w:pStyle w:val="ListNumber"/>
        <w:numPr>
          <w:ilvl w:val="0"/>
          <w:numId w:val="10"/>
        </w:numPr>
      </w:pPr>
      <w:r>
        <w:rPr>
          <w:rFonts w:ascii="Calibri" w:hAnsi="Calibri" w:eastAsia="Calibri"/>
        </w:rPr>
        <w:t>Write the raw request, the requested Return, its intended use, protected conditions, horizon, standing, and constraints.</w:t>
      </w:r>
    </w:p>
    <w:p>
      <w:pPr>
        <w:pStyle w:val="ListNumber"/>
        <w:numPr>
          <w:ilvl w:val="0"/>
          <w:numId w:val="10"/>
        </w:numPr>
      </w:pPr>
      <w:r>
        <w:rPr>
          <w:rFonts w:ascii="Calibri" w:hAnsi="Calibri" w:eastAsia="Calibri"/>
        </w:rPr>
        <w:t>Form one native candidate without Architecture+-specific scaffolding; freeze it as P0.</w:t>
      </w:r>
    </w:p>
    <w:p>
      <w:pPr>
        <w:pStyle w:val="ListNumber"/>
        <w:numPr>
          <w:ilvl w:val="0"/>
          <w:numId w:val="10"/>
        </w:numPr>
      </w:pPr>
      <w:r>
        <w:rPr>
          <w:rFonts w:ascii="Calibri" w:hAnsi="Calibri" w:eastAsia="Calibri"/>
        </w:rPr>
        <w:t>Run backward and forward sweeps independently. Compare them only after both are frozen.</w:t>
      </w:r>
    </w:p>
    <w:p>
      <w:pPr>
        <w:pStyle w:val="ListNumber"/>
        <w:numPr>
          <w:ilvl w:val="0"/>
          <w:numId w:val="10"/>
        </w:numPr>
      </w:pPr>
      <w:r>
        <w:rPr>
          <w:rFonts w:ascii="Calibri" w:hAnsi="Calibri" w:eastAsia="Calibri"/>
        </w:rPr>
        <w:t>Retain only material Hinges. Test rivals symmetrically; select the cheapest admissible Move likely to change the Return.</w:t>
      </w:r>
    </w:p>
    <w:p>
      <w:pPr>
        <w:pStyle w:val="ListNumber"/>
        <w:numPr>
          <w:ilvl w:val="0"/>
          <w:numId w:val="10"/>
        </w:numPr>
      </w:pPr>
      <w:r>
        <w:rPr>
          <w:rFonts w:ascii="Calibri" w:hAnsi="Calibri" w:eastAsia="Calibri"/>
        </w:rPr>
        <w:t>Return each component as EARNED, REJECTED, or exact OPEN. If external execution is needed, seal only a represented REQUEST_EXECUTION intent; a contract-complete request remains OPEN until a separately qualified adapter supplies and validates it. Record consequences by stage.</w:t>
      </w:r>
    </w:p>
    <w:p>
      <w:pPr>
        <w:pStyle w:val="Kicker"/>
      </w:pPr>
      <w:r>
        <w:rPr>
          <w:rFonts w:ascii="Calibri" w:hAnsi="Calibri" w:eastAsia="Calibri"/>
          <w:color w:val="2E74B5"/>
        </w:rPr>
        <w:t>QUICK MAP</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850"/>
        <w:gridCol w:w="7510"/>
      </w:tblGrid>
      <w:tr>
        <w:trPr>
          <w:trHeight w:hRule="atLeast"/>
          <w:cantSplit w:val="true"/>
          <w:tblHeader w:val="true"/>
        </w:trPr>
        <w:tc>
          <w:tcPr>
            <w:tcW w:type="dxa" w:w="185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Layer</w:t>
            </w:r>
          </w:p>
        </w:tc>
        <w:tc>
          <w:tcPr>
            <w:tcW w:type="dxa" w:w="751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Job</w:t>
            </w:r>
          </w:p>
        </w:tc>
      </w:tr>
      <w:tr>
        <w:trPr>
          <w:cantSplit w:val="true"/>
        </w:trPr>
        <w:tc>
          <w:tcPr>
            <w:tcW w:type="dxa" w:w="1850"/>
            <w:vAlign w:val="center"/>
          </w:tcPr>
          <w:p>
            <w:pPr>
              <w:pStyle w:val="TableBody"/>
              <w:spacing w:before="0" w:after="0" w:line="252" w:lineRule="auto"/>
              <w:jc w:val="left"/>
            </w:pPr>
            <w:r>
              <w:rPr>
                <w:rFonts w:ascii="Calibri" w:hAnsi="Calibri" w:eastAsia="Calibri"/>
                <w:b w:val="0"/>
                <w:color w:val="111827"/>
                <w:sz w:val="16"/>
              </w:rPr>
              <w:t>Reality</w:t>
            </w:r>
          </w:p>
        </w:tc>
        <w:tc>
          <w:tcPr>
            <w:tcW w:type="dxa" w:w="7510"/>
            <w:vAlign w:val="center"/>
          </w:tcPr>
          <w:p>
            <w:pPr>
              <w:pStyle w:val="TableBody"/>
              <w:spacing w:before="0" w:after="0" w:line="252" w:lineRule="auto"/>
              <w:jc w:val="left"/>
            </w:pPr>
            <w:r>
              <w:rPr>
                <w:rFonts w:ascii="Calibri" w:hAnsi="Calibri" w:eastAsia="Calibri"/>
                <w:b w:val="0"/>
                <w:color w:val="111827"/>
                <w:sz w:val="16"/>
              </w:rPr>
              <w:t>External. Never contained by the architecture.</w:t>
            </w:r>
          </w:p>
        </w:tc>
      </w:tr>
      <w:tr>
        <w:trPr>
          <w:cantSplit w:val="true"/>
        </w:trPr>
        <w:tc>
          <w:tcPr>
            <w:tcW w:type="dxa" w:w="1850"/>
            <w:vAlign w:val="center"/>
          </w:tcPr>
          <w:p>
            <w:pPr>
              <w:pStyle w:val="TableBody"/>
              <w:spacing w:before="0" w:after="0" w:line="252" w:lineRule="auto"/>
              <w:jc w:val="left"/>
            </w:pPr>
            <w:r>
              <w:rPr>
                <w:rFonts w:ascii="Calibri" w:hAnsi="Calibri" w:eastAsia="Calibri"/>
                <w:b w:val="0"/>
                <w:color w:val="111827"/>
                <w:sz w:val="16"/>
              </w:rPr>
              <w:t>Domain regimes</w:t>
            </w:r>
          </w:p>
        </w:tc>
        <w:tc>
          <w:tcPr>
            <w:tcW w:type="dxa" w:w="7510"/>
            <w:vAlign w:val="center"/>
          </w:tcPr>
          <w:p>
            <w:pPr>
              <w:pStyle w:val="TableBody"/>
              <w:spacing w:before="0" w:after="0" w:line="252" w:lineRule="auto"/>
              <w:jc w:val="left"/>
            </w:pPr>
            <w:r>
              <w:rPr>
                <w:rFonts w:ascii="Calibri" w:hAnsi="Calibri" w:eastAsia="Calibri"/>
                <w:b w:val="0"/>
                <w:color w:val="111827"/>
                <w:sz w:val="16"/>
              </w:rPr>
              <w:t>Supply facts, theories, meanings, rules, authority, and evaluation.</w:t>
            </w:r>
          </w:p>
        </w:tc>
      </w:tr>
      <w:tr>
        <w:trPr>
          <w:cantSplit w:val="true"/>
        </w:trPr>
        <w:tc>
          <w:tcPr>
            <w:tcW w:type="dxa" w:w="1850"/>
            <w:vAlign w:val="center"/>
          </w:tcPr>
          <w:p>
            <w:pPr>
              <w:pStyle w:val="TableBody"/>
              <w:spacing w:before="0" w:after="0" w:line="252" w:lineRule="auto"/>
              <w:jc w:val="left"/>
            </w:pPr>
            <w:r>
              <w:rPr>
                <w:rFonts w:ascii="Calibri" w:hAnsi="Calibri" w:eastAsia="Calibri"/>
                <w:b w:val="0"/>
                <w:color w:val="111827"/>
                <w:sz w:val="16"/>
              </w:rPr>
              <w:t>Passage Theory</w:t>
            </w:r>
          </w:p>
        </w:tc>
        <w:tc>
          <w:tcPr>
            <w:tcW w:type="dxa" w:w="7510"/>
            <w:vAlign w:val="center"/>
          </w:tcPr>
          <w:p>
            <w:pPr>
              <w:pStyle w:val="TableBody"/>
              <w:spacing w:before="0" w:after="0" w:line="252" w:lineRule="auto"/>
              <w:jc w:val="left"/>
            </w:pPr>
            <w:r>
              <w:rPr>
                <w:rFonts w:ascii="Calibri" w:hAnsi="Calibri" w:eastAsia="Calibri"/>
                <w:b w:val="0"/>
                <w:color w:val="111827"/>
                <w:sz w:val="16"/>
              </w:rPr>
              <w:t>Describes configuration-dependent possibility and successor change.</w:t>
            </w:r>
          </w:p>
        </w:tc>
      </w:tr>
      <w:tr>
        <w:trPr>
          <w:cantSplit w:val="true"/>
        </w:trPr>
        <w:tc>
          <w:tcPr>
            <w:tcW w:type="dxa" w:w="1850"/>
            <w:vAlign w:val="center"/>
          </w:tcPr>
          <w:p>
            <w:pPr>
              <w:pStyle w:val="TableBody"/>
              <w:spacing w:before="0" w:after="0" w:line="252" w:lineRule="auto"/>
              <w:jc w:val="left"/>
            </w:pPr>
            <w:r>
              <w:rPr>
                <w:rFonts w:ascii="Calibri" w:hAnsi="Calibri" w:eastAsia="Calibri"/>
                <w:b w:val="0"/>
                <w:color w:val="111827"/>
                <w:sz w:val="16"/>
              </w:rPr>
              <w:t>Local models</w:t>
            </w:r>
          </w:p>
        </w:tc>
        <w:tc>
          <w:tcPr>
            <w:tcW w:type="dxa" w:w="7510"/>
            <w:vAlign w:val="center"/>
          </w:tcPr>
          <w:p>
            <w:pPr>
              <w:pStyle w:val="TableBody"/>
              <w:spacing w:before="0" w:after="0" w:line="252" w:lineRule="auto"/>
              <w:jc w:val="left"/>
            </w:pPr>
            <w:r>
              <w:rPr>
                <w:rFonts w:ascii="Calibri" w:hAnsi="Calibri" w:eastAsia="Calibri"/>
                <w:b w:val="0"/>
                <w:color w:val="111827"/>
                <w:sz w:val="16"/>
              </w:rPr>
              <w:t>Bind theories to the task when they can change the Return.</w:t>
            </w:r>
          </w:p>
        </w:tc>
      </w:tr>
      <w:tr>
        <w:trPr>
          <w:cantSplit w:val="true"/>
        </w:trPr>
        <w:tc>
          <w:tcPr>
            <w:tcW w:type="dxa" w:w="1850"/>
            <w:vAlign w:val="center"/>
          </w:tcPr>
          <w:p>
            <w:pPr>
              <w:pStyle w:val="TableBody"/>
              <w:spacing w:before="0" w:after="0" w:line="252" w:lineRule="auto"/>
              <w:jc w:val="left"/>
            </w:pPr>
            <w:r>
              <w:rPr>
                <w:rFonts w:ascii="Calibri" w:hAnsi="Calibri" w:eastAsia="Calibri"/>
                <w:b w:val="0"/>
                <w:color w:val="111827"/>
                <w:sz w:val="16"/>
              </w:rPr>
              <w:t>Architecture+</w:t>
            </w:r>
          </w:p>
        </w:tc>
        <w:tc>
          <w:tcPr>
            <w:tcW w:type="dxa" w:w="7510"/>
            <w:vAlign w:val="center"/>
          </w:tcPr>
          <w:p>
            <w:pPr>
              <w:pStyle w:val="TableBody"/>
              <w:spacing w:before="0" w:after="0" w:line="252" w:lineRule="auto"/>
              <w:jc w:val="left"/>
            </w:pPr>
            <w:r>
              <w:rPr>
                <w:rFonts w:ascii="Calibri" w:hAnsi="Calibri" w:eastAsia="Calibri"/>
                <w:b w:val="0"/>
                <w:color w:val="111827"/>
                <w:sz w:val="16"/>
              </w:rPr>
              <w:t>organizes declared actors' inquiry, creation, testing, work, Returns, learning, retention, and reopening within declared authority.</w:t>
            </w:r>
          </w:p>
        </w:tc>
      </w:tr>
      <w:tr>
        <w:trPr>
          <w:cantSplit w:val="true"/>
        </w:trPr>
        <w:tc>
          <w:tcPr>
            <w:tcW w:type="dxa" w:w="1850"/>
            <w:vAlign w:val="center"/>
          </w:tcPr>
          <w:p>
            <w:pPr>
              <w:pStyle w:val="TableBody"/>
              <w:spacing w:before="0" w:after="0" w:line="252" w:lineRule="auto"/>
              <w:jc w:val="left"/>
            </w:pPr>
            <w:r>
              <w:rPr>
                <w:rFonts w:ascii="Calibri" w:hAnsi="Calibri" w:eastAsia="Calibri"/>
                <w:b w:val="0"/>
                <w:color w:val="111827"/>
                <w:sz w:val="16"/>
              </w:rPr>
              <w:t>Earned Structure</w:t>
            </w:r>
          </w:p>
        </w:tc>
        <w:tc>
          <w:tcPr>
            <w:tcW w:type="dxa" w:w="7510"/>
            <w:vAlign w:val="center"/>
          </w:tcPr>
          <w:p>
            <w:pPr>
              <w:pStyle w:val="TableBody"/>
              <w:spacing w:before="0" w:after="0" w:line="252" w:lineRule="auto"/>
              <w:jc w:val="left"/>
            </w:pPr>
            <w:r>
              <w:rPr>
                <w:rFonts w:ascii="Calibri" w:hAnsi="Calibri" w:eastAsia="Calibri"/>
                <w:b w:val="0"/>
                <w:color w:val="111827"/>
                <w:sz w:val="16"/>
              </w:rPr>
              <w:t>Governs what may persist, where, why, and until when.</w:t>
            </w:r>
          </w:p>
        </w:tc>
      </w:tr>
    </w:tbl>
    <w:p>
      <w:pPr>
        <w:spacing w:after="0"/>
      </w:pPr>
    </w:p>
    <w:p>
      <w:pPr>
        <w:pStyle w:val="Tiny"/>
      </w:pPr>
      <w:r>
        <w:rPr>
          <w:rFonts w:ascii="Calibri" w:hAnsi="Calibri" w:eastAsia="Calibri"/>
          <w:color w:val="667085"/>
        </w:rPr>
        <w:t>Read next: §1 for identity and boundaries; §8 for the operator loop; §17 for the one-page morning card.</w:t>
      </w:r>
    </w:p>
    <w:p>
      <w:pPr>
        <w:pStyle w:val="Heading1"/>
      </w:pPr>
      <w:r>
        <w:t>1  Identity, boundary, and topology</w:t>
      </w:r>
    </w:p>
    <w:p>
      <w:pPr>
        <w:pStyle w:val="Kicker"/>
        <w:keepNext/>
      </w:pPr>
      <w:r>
        <w:rPr>
          <w:rFonts w:ascii="Calibri" w:hAnsi="Calibri" w:eastAsia="Calibri"/>
          <w:color w:val="667085"/>
        </w:rPr>
        <w:t>The umbrella is broad; every local claim remains bounded.</w:t>
      </w:r>
    </w:p>
    <w:tbl>
      <w:tblPr>
        <w:tblW w:type="dxa" w:w="9360"/>
        <w:tblLayout w:type="fixed"/>
        <w:tblLook w:firstColumn="1" w:firstRow="1" w:lastColumn="0" w:lastRow="0" w:noHBand="0" w:noVBand="1" w:val="04A0"/>
        <w:tblInd w:w="120" w:type="dxa"/>
        <w:tblBorders>
          <w:top w:val="single" w:sz="0" w:space="0" w:color="E8EEF5"/>
          <w:left w:val="single" w:sz="0" w:space="0" w:color="E8EEF5"/>
          <w:bottom w:val="single" w:sz="0" w:space="0" w:color="E8EEF5"/>
          <w:right w:val="single" w:sz="0" w:space="0" w:color="E8EEF5"/>
          <w:insideH w:val="single" w:sz="0" w:space="0" w:color="E8EEF5"/>
          <w:insideV w:val="single" w:sz="0" w:space="0" w:color="E8EEF5"/>
        </w:tblBorders>
      </w:tblPr>
      <w:tblGrid>
        <w:gridCol w:w="9360"/>
      </w:tblGrid>
      <w:tr>
        <w:trPr>
          <w:trHeight w:hRule="atLeast"/>
          <w:cantSplit w:val="true"/>
          <w:tblHeader w:val="true"/>
        </w:trPr>
        <w:tc>
          <w:tcPr>
            <w:tcW w:type="dxa" w:w="9360"/>
            <w:tcMar>
              <w:top w:w="80" w:type="dxa"/>
              <w:start w:w="120" w:type="dxa"/>
              <w:bottom w:w="80" w:type="dxa"/>
              <w:end w:w="120" w:type="dxa"/>
            </w:tcMar>
            <w:shd w:fill="E8EEF5" w:val="clear"/>
          </w:tcPr>
          <w:p>
            <w:pPr>
              <w:spacing w:before="20" w:after="20" w:line="276" w:lineRule="auto"/>
            </w:pPr>
            <w:r>
              <w:rPr>
                <w:rFonts w:ascii="Calibri" w:hAnsi="Calibri" w:eastAsia="Calibri"/>
                <w:b/>
                <w:color w:val="2E74B5"/>
                <w:sz w:val="17"/>
              </w:rPr>
              <w:t xml:space="preserve">SHORT DISTINCTION  </w:t>
            </w:r>
            <w:r>
              <w:rPr>
                <w:rFonts w:ascii="Calibri" w:hAnsi="Calibri" w:eastAsia="Calibri"/>
                <w:color w:val="0B2545"/>
                <w:sz w:val="20"/>
              </w:rPr>
              <w:t>Passage Theory supplies conditional predictions through local models. Architecture+ organizes declared actors' inquiry, creation, testing, work, Returns, learning, retention, and reopening within declared authority.</w:t>
            </w:r>
          </w:p>
        </w:tc>
      </w:tr>
    </w:tbl>
    <w:p>
      <w:pPr>
        <w:spacing w:after="0"/>
      </w:pPr>
    </w:p>
    <w:p>
      <w:r>
        <w:rPr>
          <w:rFonts w:ascii="Calibri" w:hAnsi="Calibri" w:eastAsia="Calibri"/>
        </w:rPr>
        <w:t>Architecture+ is the umbrella. Passage Theory is a foundational dynamics theory beneath it. A Passage Model is one optional domain-bound interface. The Architecture+ Operating Core organizes work. Consequence Compiler is the finite record-and-orchestration reference implementation. Earned Structure is the cross-cutting persistence doctrine.</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750"/>
        <w:gridCol w:w="4650"/>
        <w:gridCol w:w="2960"/>
      </w:tblGrid>
      <w:tr>
        <w:trPr>
          <w:trHeight w:hRule="atLeast"/>
          <w:cantSplit w:val="true"/>
          <w:tblHeader w:val="true"/>
        </w:trPr>
        <w:tc>
          <w:tcPr>
            <w:tcW w:type="dxa" w:w="175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Name</w:t>
            </w:r>
          </w:p>
        </w:tc>
        <w:tc>
          <w:tcPr>
            <w:tcW w:type="dxa" w:w="465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Exact role</w:t>
            </w:r>
          </w:p>
        </w:tc>
        <w:tc>
          <w:tcPr>
            <w:tcW w:type="dxa" w:w="2960"/>
            <w:tcMar>
              <w:top w:w="80" w:type="dxa"/>
              <w:start w:w="120" w:type="dxa"/>
              <w:bottom w:w="80" w:type="dxa"/>
              <w:end w:w="120" w:type="dxa"/>
            </w:tcMar>
            <w:shd w:fill="E8EEF5" w:val="clear"/>
            <w:vAlign w:val="center"/>
          </w:tcPr>
          <w:p>
            <w:pPr>
              <w:pStyle w:val="TableBody"/>
              <w:spacing w:before="0" w:after="0" w:line="252" w:lineRule="auto"/>
              <w:jc w:val="left"/>
            </w:pPr>
            <w:r>
              <w:rPr>
                <w:rFonts w:ascii="Calibri" w:hAnsi="Calibri" w:eastAsia="Calibri"/>
                <w:b/>
                <w:color w:val="0B2545"/>
                <w:sz w:val="16"/>
              </w:rPr>
              <w:t>Not automatically</w:t>
            </w:r>
          </w:p>
        </w:tc>
      </w:tr>
      <w:tr>
        <w:trPr>
          <w:cantSplit w:val="true"/>
        </w:trPr>
        <w:tc>
          <w:tcPr>
            <w:tcW w:type="dxa" w:w="1750"/>
            <w:vAlign w:val="center"/>
          </w:tcPr>
          <w:p>
            <w:pPr>
              <w:pStyle w:val="TableBody"/>
              <w:spacing w:before="0" w:after="0" w:line="252" w:lineRule="auto"/>
              <w:jc w:val="left"/>
            </w:pPr>
            <w:r>
              <w:rPr>
                <w:rFonts w:ascii="Calibri" w:hAnsi="Calibri" w:eastAsia="Calibri"/>
                <w:b w:val="0"/>
                <w:color w:val="111827"/>
                <w:sz w:val="15"/>
              </w:rPr>
              <w:t>Architecture+</w:t>
            </w:r>
          </w:p>
        </w:tc>
        <w:tc>
          <w:tcPr>
            <w:tcW w:type="dxa" w:w="4650"/>
            <w:vAlign w:val="center"/>
          </w:tcPr>
          <w:p>
            <w:pPr>
              <w:pStyle w:val="TableBody"/>
              <w:spacing w:before="0" w:after="0" w:line="252" w:lineRule="auto"/>
              <w:jc w:val="left"/>
            </w:pPr>
            <w:r>
              <w:rPr>
                <w:rFonts w:ascii="Calibri" w:hAnsi="Calibri" w:eastAsia="Calibri"/>
                <w:b w:val="0"/>
                <w:color w:val="111827"/>
                <w:sz w:val="15"/>
              </w:rPr>
              <w:t>Open architecture for inquiry, creation, action, consequence, and learning.</w:t>
            </w:r>
          </w:p>
        </w:tc>
        <w:tc>
          <w:tcPr>
            <w:tcW w:type="dxa" w:w="2960"/>
            <w:vAlign w:val="center"/>
          </w:tcPr>
          <w:p>
            <w:pPr>
              <w:pStyle w:val="TableBody"/>
              <w:spacing w:before="0" w:after="0" w:line="252" w:lineRule="auto"/>
              <w:jc w:val="left"/>
            </w:pPr>
            <w:r>
              <w:rPr>
                <w:rFonts w:ascii="Calibri" w:hAnsi="Calibri" w:eastAsia="Calibri"/>
                <w:b w:val="0"/>
                <w:color w:val="111827"/>
                <w:sz w:val="15"/>
              </w:rPr>
              <w:t>A domain theory, truth source, authority, or autonomous actor.</w:t>
            </w:r>
          </w:p>
        </w:tc>
      </w:tr>
      <w:tr>
        <w:trPr>
          <w:cantSplit w:val="true"/>
        </w:trPr>
        <w:tc>
          <w:tcPr>
            <w:tcW w:type="dxa" w:w="1750"/>
            <w:vAlign w:val="center"/>
          </w:tcPr>
          <w:p>
            <w:pPr>
              <w:pStyle w:val="TableBody"/>
              <w:spacing w:before="0" w:after="0" w:line="252" w:lineRule="auto"/>
              <w:jc w:val="left"/>
            </w:pPr>
            <w:r>
              <w:rPr>
                <w:rFonts w:ascii="Calibri" w:hAnsi="Calibri" w:eastAsia="Calibri"/>
                <w:b w:val="0"/>
                <w:color w:val="111827"/>
                <w:sz w:val="15"/>
              </w:rPr>
              <w:t>Passage Theory</w:t>
            </w:r>
          </w:p>
        </w:tc>
        <w:tc>
          <w:tcPr>
            <w:tcW w:type="dxa" w:w="4650"/>
            <w:vAlign w:val="center"/>
          </w:tcPr>
          <w:p>
            <w:pPr>
              <w:pStyle w:val="TableBody"/>
              <w:spacing w:before="0" w:after="0" w:line="252" w:lineRule="auto"/>
              <w:jc w:val="left"/>
            </w:pPr>
            <w:r>
              <w:rPr>
                <w:rFonts w:ascii="Calibri" w:hAnsi="Calibri" w:eastAsia="Calibri"/>
                <w:b w:val="0"/>
                <w:color w:val="111827"/>
                <w:sz w:val="15"/>
              </w:rPr>
              <w:t>General grammar of configuration-dependent possibility and succession.</w:t>
            </w:r>
          </w:p>
        </w:tc>
        <w:tc>
          <w:tcPr>
            <w:tcW w:type="dxa" w:w="2960"/>
            <w:vAlign w:val="center"/>
          </w:tcPr>
          <w:p>
            <w:pPr>
              <w:pStyle w:val="TableBody"/>
              <w:spacing w:before="0" w:after="0" w:line="252" w:lineRule="auto"/>
              <w:jc w:val="left"/>
            </w:pPr>
            <w:r>
              <w:rPr>
                <w:rFonts w:ascii="Calibri" w:hAnsi="Calibri" w:eastAsia="Calibri"/>
                <w:b w:val="0"/>
                <w:color w:val="111827"/>
                <w:sz w:val="15"/>
              </w:rPr>
              <w:t>A theory of everything or a source of facts, values, permission, or causal truth.</w:t>
            </w:r>
          </w:p>
        </w:tc>
      </w:tr>
      <w:tr>
        <w:trPr>
          <w:cantSplit w:val="true"/>
        </w:trPr>
        <w:tc>
          <w:tcPr>
            <w:tcW w:type="dxa" w:w="1750"/>
            <w:vAlign w:val="center"/>
          </w:tcPr>
          <w:p>
            <w:pPr>
              <w:pStyle w:val="TableBody"/>
              <w:spacing w:before="0" w:after="0" w:line="252" w:lineRule="auto"/>
              <w:jc w:val="left"/>
            </w:pPr>
            <w:r>
              <w:rPr>
                <w:rFonts w:ascii="Calibri" w:hAnsi="Calibri" w:eastAsia="Calibri"/>
                <w:b w:val="0"/>
                <w:color w:val="111827"/>
                <w:sz w:val="15"/>
              </w:rPr>
              <w:t>Passage Model</w:t>
            </w:r>
          </w:p>
        </w:tc>
        <w:tc>
          <w:tcPr>
            <w:tcW w:type="dxa" w:w="4650"/>
            <w:vAlign w:val="center"/>
          </w:tcPr>
          <w:p>
            <w:pPr>
              <w:pStyle w:val="TableBody"/>
              <w:spacing w:before="0" w:after="0" w:line="252" w:lineRule="auto"/>
              <w:jc w:val="left"/>
            </w:pPr>
            <w:r>
              <w:rPr>
                <w:rFonts w:ascii="Calibri" w:hAnsi="Calibri" w:eastAsia="Calibri"/>
                <w:b w:val="0"/>
                <w:color w:val="111827"/>
                <w:sz w:val="15"/>
              </w:rPr>
              <w:t>Falsifiable local binding of Passage Theory to one domain, Basis, Demand, and horizon.</w:t>
            </w:r>
          </w:p>
        </w:tc>
        <w:tc>
          <w:tcPr>
            <w:tcW w:type="dxa" w:w="2960"/>
            <w:vAlign w:val="center"/>
          </w:tcPr>
          <w:p>
            <w:pPr>
              <w:pStyle w:val="TableBody"/>
              <w:spacing w:before="0" w:after="0" w:line="252" w:lineRule="auto"/>
              <w:jc w:val="left"/>
            </w:pPr>
            <w:r>
              <w:rPr>
                <w:rFonts w:ascii="Calibri" w:hAnsi="Calibri" w:eastAsia="Calibri"/>
                <w:b w:val="0"/>
                <w:color w:val="111827"/>
                <w:sz w:val="15"/>
              </w:rPr>
              <w:t>Required for every task, or valid without domain evidence.</w:t>
            </w:r>
          </w:p>
        </w:tc>
      </w:tr>
      <w:tr>
        <w:trPr>
          <w:cantSplit w:val="true"/>
        </w:trPr>
        <w:tc>
          <w:tcPr>
            <w:tcW w:type="dxa" w:w="1750"/>
            <w:vAlign w:val="center"/>
          </w:tcPr>
          <w:p>
            <w:pPr>
              <w:pStyle w:val="TableBody"/>
              <w:spacing w:before="0" w:after="0" w:line="252" w:lineRule="auto"/>
              <w:jc w:val="left"/>
            </w:pPr>
            <w:r>
              <w:rPr>
                <w:rFonts w:ascii="Calibri" w:hAnsi="Calibri" w:eastAsia="Calibri"/>
                <w:b w:val="0"/>
                <w:color w:val="111827"/>
                <w:sz w:val="15"/>
              </w:rPr>
              <w:t>Architecture+ Operating Core</w:t>
            </w:r>
          </w:p>
        </w:tc>
        <w:tc>
          <w:tcPr>
            <w:tcW w:type="dxa" w:w="4650"/>
            <w:vAlign w:val="center"/>
          </w:tcPr>
          <w:p>
            <w:pPr>
              <w:pStyle w:val="TableBody"/>
              <w:spacing w:before="0" w:after="0" w:line="252" w:lineRule="auto"/>
              <w:jc w:val="left"/>
            </w:pPr>
            <w:r>
              <w:rPr>
                <w:rFonts w:ascii="Calibri" w:hAnsi="Calibri" w:eastAsia="Calibri"/>
                <w:b w:val="0"/>
                <w:color w:val="111827"/>
                <w:sz w:val="15"/>
              </w:rPr>
              <w:t>Adaptive sequence that protects native formation, locates Hinges, tests, returns, and reopens.</w:t>
            </w:r>
          </w:p>
        </w:tc>
        <w:tc>
          <w:tcPr>
            <w:tcW w:type="dxa" w:w="2960"/>
            <w:vAlign w:val="center"/>
          </w:tcPr>
          <w:p>
            <w:pPr>
              <w:pStyle w:val="TableBody"/>
              <w:spacing w:before="0" w:after="0" w:line="252" w:lineRule="auto"/>
              <w:jc w:val="left"/>
            </w:pPr>
            <w:r>
              <w:rPr>
                <w:rFonts w:ascii="Calibri" w:hAnsi="Calibri" w:eastAsia="Calibri"/>
                <w:b w:val="0"/>
                <w:color w:val="111827"/>
                <w:sz w:val="15"/>
              </w:rPr>
              <w:t>A fixed maximal pipeline that must always run in full.</w:t>
            </w:r>
          </w:p>
        </w:tc>
      </w:tr>
      <w:tr>
        <w:trPr>
          <w:cantSplit w:val="true"/>
        </w:trPr>
        <w:tc>
          <w:tcPr>
            <w:tcW w:type="dxa" w:w="1750"/>
            <w:vAlign w:val="center"/>
          </w:tcPr>
          <w:p>
            <w:pPr>
              <w:pStyle w:val="TableBody"/>
              <w:spacing w:before="0" w:after="0" w:line="252" w:lineRule="auto"/>
              <w:jc w:val="left"/>
            </w:pPr>
            <w:r>
              <w:rPr>
                <w:rFonts w:ascii="Calibri" w:hAnsi="Calibri" w:eastAsia="Calibri"/>
                <w:b w:val="0"/>
                <w:color w:val="111827"/>
                <w:sz w:val="15"/>
              </w:rPr>
              <w:t>Consequence Compiler</w:t>
            </w:r>
          </w:p>
        </w:tc>
        <w:tc>
          <w:tcPr>
            <w:tcW w:type="dxa" w:w="4650"/>
            <w:vAlign w:val="center"/>
          </w:tcPr>
          <w:p>
            <w:pPr>
              <w:pStyle w:val="TableBody"/>
              <w:spacing w:before="0" w:after="0" w:line="252" w:lineRule="auto"/>
              <w:jc w:val="left"/>
            </w:pPr>
            <w:r>
              <w:rPr>
                <w:rFonts w:ascii="Calibri" w:hAnsi="Calibri" w:eastAsia="Calibri"/>
                <w:b w:val="0"/>
                <w:color w:val="111827"/>
                <w:sz w:val="15"/>
              </w:rPr>
              <w:t>Standard-library executable reference carrier.</w:t>
            </w:r>
          </w:p>
        </w:tc>
        <w:tc>
          <w:tcPr>
            <w:tcW w:type="dxa" w:w="2960"/>
            <w:vAlign w:val="center"/>
          </w:tcPr>
          <w:p>
            <w:pPr>
              <w:pStyle w:val="TableBody"/>
              <w:spacing w:before="0" w:after="0" w:line="252" w:lineRule="auto"/>
              <w:jc w:val="left"/>
            </w:pPr>
            <w:r>
              <w:rPr>
                <w:rFonts w:ascii="Calibri" w:hAnsi="Calibri" w:eastAsia="Calibri"/>
                <w:b w:val="0"/>
                <w:color w:val="111827"/>
                <w:sz w:val="15"/>
              </w:rPr>
              <w:t>The architecture itself or a semantic oracle.</w:t>
            </w:r>
          </w:p>
        </w:tc>
      </w:tr>
      <w:tr>
        <w:trPr>
          <w:cantSplit w:val="true"/>
        </w:trPr>
        <w:tc>
          <w:tcPr>
            <w:tcW w:type="dxa" w:w="1750"/>
            <w:vAlign w:val="center"/>
          </w:tcPr>
          <w:p>
            <w:pPr>
              <w:pStyle w:val="TableBody"/>
              <w:spacing w:before="0" w:after="0" w:line="252" w:lineRule="auto"/>
              <w:jc w:val="left"/>
            </w:pPr>
            <w:r>
              <w:rPr>
                <w:rFonts w:ascii="Calibri" w:hAnsi="Calibri" w:eastAsia="Calibri"/>
                <w:b w:val="0"/>
                <w:color w:val="111827"/>
                <w:sz w:val="15"/>
              </w:rPr>
              <w:t>Earned Structure</w:t>
            </w:r>
          </w:p>
        </w:tc>
        <w:tc>
          <w:tcPr>
            <w:tcW w:type="dxa" w:w="4650"/>
            <w:vAlign w:val="center"/>
          </w:tcPr>
          <w:p>
            <w:pPr>
              <w:pStyle w:val="TableBody"/>
              <w:spacing w:before="0" w:after="0" w:line="252" w:lineRule="auto"/>
              <w:jc w:val="left"/>
            </w:pPr>
            <w:r>
              <w:rPr>
                <w:rFonts w:ascii="Calibri" w:hAnsi="Calibri" w:eastAsia="Calibri"/>
                <w:b w:val="0"/>
                <w:color w:val="111827"/>
                <w:sz w:val="15"/>
              </w:rPr>
              <w:t>Rule for admission, persistence, demotion, expiry, and selective reuse.</w:t>
            </w:r>
          </w:p>
        </w:tc>
        <w:tc>
          <w:tcPr>
            <w:tcW w:type="dxa" w:w="2960"/>
            <w:vAlign w:val="center"/>
          </w:tcPr>
          <w:p>
            <w:pPr>
              <w:pStyle w:val="TableBody"/>
              <w:spacing w:before="0" w:after="0" w:line="252" w:lineRule="auto"/>
              <w:jc w:val="left"/>
            </w:pPr>
            <w:r>
              <w:rPr>
                <w:rFonts w:ascii="Calibri" w:hAnsi="Calibri" w:eastAsia="Calibri"/>
                <w:b w:val="0"/>
                <w:color w:val="111827"/>
                <w:sz w:val="15"/>
              </w:rPr>
              <w:t>Proof that retained structure is true, optimal, safe, or permanent.</w:t>
            </w:r>
          </w:p>
        </w:tc>
      </w:tr>
    </w:tbl>
    <w:p>
      <w:pPr>
        <w:spacing w:after="0"/>
      </w:pPr>
    </w:p>
    <w:p>
      <w:pPr>
        <w:pStyle w:val="Heading2"/>
      </w:pPr>
      <w:r>
        <w:rPr>
          <w:rFonts w:ascii="Calibri" w:hAnsi="Calibri" w:eastAsia="Calibri"/>
        </w:rPr>
        <w:t>Claims</w:t>
      </w:r>
    </w:p>
    <w:p>
      <w:pPr>
        <w:pStyle w:val="ListBullet"/>
      </w:pPr>
      <w:r>
        <w:rPr>
          <w:rFonts w:ascii="Calibri" w:hAnsi="Calibri" w:eastAsia="Calibri"/>
        </w:rPr>
        <w:t>Architecture+ 0.1 provides a compact executable reference for preserving native formation, locating consequence-bearing distinctions, testing rivals, tracing supported Returns, and selectively reopening after change.</w:t>
      </w:r>
    </w:p>
    <w:p>
      <w:pPr>
        <w:pStyle w:val="ListBullet"/>
      </w:pPr>
      <w:r>
        <w:rPr>
          <w:rFonts w:ascii="Calibri" w:hAnsi="Calibri" w:eastAsia="Calibri"/>
        </w:rPr>
        <w:t>The package exposes its theory, assumptions, records, prompts, code, tests, evidence, costs, and open frontiers for inspection and replacement.</w:t>
      </w:r>
    </w:p>
    <w:p>
      <w:pPr>
        <w:pStyle w:val="Heading2"/>
      </w:pPr>
      <w:r>
        <w:rPr>
          <w:rFonts w:ascii="Calibri" w:hAnsi="Calibri" w:eastAsia="Calibri"/>
        </w:rPr>
        <w:t>Nonclaims</w:t>
      </w:r>
    </w:p>
    <w:p>
      <w:pPr>
        <w:pStyle w:val="ListBullet"/>
      </w:pPr>
      <w:r>
        <w:rPr>
          <w:rFonts w:ascii="Calibri" w:hAnsi="Calibri" w:eastAsia="Calibri"/>
        </w:rPr>
        <w:t>It does not contain reality, objective truth, a universal ontology, a universal causal model, values, rights, permission, legitimacy, safety, authenticity, or guaranteed world effect.</w:t>
      </w:r>
    </w:p>
    <w:p>
      <w:pPr>
        <w:pStyle w:val="ListBullet"/>
      </w:pPr>
      <w:r>
        <w:rPr>
          <w:rFonts w:ascii="Calibri" w:hAnsi="Calibri" w:eastAsia="Calibri"/>
        </w:rPr>
        <w:t>Internal conformance does not establish external usefulness, empirical validity, independence, completeness, optimality, or superiority to a strong plain prompt.</w:t>
      </w:r>
    </w:p>
    <w:p>
      <w:pPr>
        <w:pStyle w:val="ListBullet"/>
      </w:pPr>
      <w:r>
        <w:rPr>
          <w:rFonts w:ascii="Calibri" w:hAnsi="Calibri" w:eastAsia="Calibri"/>
        </w:rPr>
        <w:t>A word, edge, hash, receipt, test count, agreement, version label, or internal PASS carries no authority beyond its exact witnessed scope.</w:t>
      </w:r>
    </w:p>
    <w:p>
      <w:pPr>
        <w:pStyle w:val="Heading2"/>
      </w:pPr>
      <w:r>
        <w:rPr>
          <w:rFonts w:ascii="Calibri" w:hAnsi="Calibri" w:eastAsia="Calibri"/>
        </w:rPr>
        <w:t>Exact topology</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700"/>
        <w:gridCol w:w="4550"/>
        <w:gridCol w:w="3110"/>
      </w:tblGrid>
      <w:tr>
        <w:trPr>
          <w:trHeight w:hRule="atLeast"/>
          <w:cantSplit w:val="true"/>
          <w:tblHeader w:val="true"/>
        </w:trPr>
        <w:tc>
          <w:tcPr>
            <w:tcW w:type="dxa" w:w="170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From</w:t>
            </w:r>
          </w:p>
        </w:tc>
        <w:tc>
          <w:tcPr>
            <w:tcW w:type="dxa" w:w="4550"/>
            <w:tcMar>
              <w:top w:w="80" w:type="dxa"/>
              <w:start w:w="120" w:type="dxa"/>
              <w:bottom w:w="80" w:type="dxa"/>
              <w:end w:w="120" w:type="dxa"/>
            </w:tcMar>
            <w:shd w:fill="E8EEF5" w:val="clear"/>
            <w:vAlign w:val="center"/>
          </w:tcPr>
          <w:p>
            <w:pPr>
              <w:pStyle w:val="TableBody"/>
              <w:spacing w:before="0" w:after="0" w:line="252" w:lineRule="auto"/>
              <w:jc w:val="left"/>
            </w:pPr>
            <w:r>
              <w:rPr>
                <w:rFonts w:ascii="Calibri" w:hAnsi="Calibri" w:eastAsia="Calibri"/>
                <w:b/>
                <w:color w:val="0B2545"/>
                <w:sz w:val="16"/>
              </w:rPr>
              <w:t>Contribution</w:t>
            </w:r>
          </w:p>
        </w:tc>
        <w:tc>
          <w:tcPr>
            <w:tcW w:type="dxa" w:w="311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Boundary</w:t>
            </w:r>
          </w:p>
        </w:tc>
      </w:tr>
      <w:tr>
        <w:trPr>
          <w:cantSplit w:val="true"/>
        </w:trPr>
        <w:tc>
          <w:tcPr>
            <w:tcW w:type="dxa" w:w="1700"/>
            <w:vAlign w:val="center"/>
          </w:tcPr>
          <w:p>
            <w:pPr>
              <w:pStyle w:val="TableBody"/>
              <w:spacing w:before="0" w:after="0" w:line="252" w:lineRule="auto"/>
              <w:jc w:val="left"/>
            </w:pPr>
            <w:r>
              <w:rPr>
                <w:rFonts w:ascii="Calibri" w:hAnsi="Calibri" w:eastAsia="Calibri"/>
                <w:b w:val="0"/>
                <w:color w:val="111827"/>
                <w:sz w:val="15"/>
              </w:rPr>
              <w:t>Reality</w:t>
            </w:r>
          </w:p>
        </w:tc>
        <w:tc>
          <w:tcPr>
            <w:tcW w:type="dxa" w:w="4550"/>
            <w:vAlign w:val="center"/>
          </w:tcPr>
          <w:p>
            <w:pPr>
              <w:pStyle w:val="TableBody"/>
              <w:spacing w:before="0" w:after="0" w:line="252" w:lineRule="auto"/>
              <w:jc w:val="left"/>
            </w:pPr>
            <w:r>
              <w:rPr>
                <w:rFonts w:ascii="Calibri" w:hAnsi="Calibri" w:eastAsia="Calibri"/>
                <w:b w:val="0"/>
                <w:color w:val="111827"/>
                <w:sz w:val="15"/>
              </w:rPr>
              <w:t>External; never contained by the architecture.</w:t>
            </w:r>
          </w:p>
        </w:tc>
        <w:tc>
          <w:tcPr>
            <w:tcW w:type="dxa" w:w="3110"/>
            <w:vAlign w:val="center"/>
          </w:tcPr>
          <w:p>
            <w:pPr>
              <w:pStyle w:val="TableBody"/>
              <w:spacing w:before="0" w:after="0" w:line="252" w:lineRule="auto"/>
              <w:jc w:val="left"/>
            </w:pPr>
            <w:r>
              <w:rPr>
                <w:rFonts w:ascii="Calibri" w:hAnsi="Calibri" w:eastAsia="Calibri"/>
                <w:b w:val="0"/>
                <w:color w:val="111827"/>
                <w:sz w:val="15"/>
              </w:rPr>
              <w:t>Only observations and records enter.</w:t>
            </w:r>
          </w:p>
        </w:tc>
      </w:tr>
      <w:tr>
        <w:trPr>
          <w:cantSplit w:val="true"/>
        </w:trPr>
        <w:tc>
          <w:tcPr>
            <w:tcW w:type="dxa" w:w="1700"/>
            <w:vAlign w:val="center"/>
          </w:tcPr>
          <w:p>
            <w:pPr>
              <w:pStyle w:val="TableBody"/>
              <w:spacing w:before="0" w:after="0" w:line="252" w:lineRule="auto"/>
              <w:jc w:val="left"/>
            </w:pPr>
            <w:r>
              <w:rPr>
                <w:rFonts w:ascii="Calibri" w:hAnsi="Calibri" w:eastAsia="Calibri"/>
                <w:b w:val="0"/>
                <w:color w:val="111827"/>
                <w:sz w:val="15"/>
              </w:rPr>
              <w:t>Domain regimes</w:t>
            </w:r>
          </w:p>
        </w:tc>
        <w:tc>
          <w:tcPr>
            <w:tcW w:type="dxa" w:w="4550"/>
            <w:vAlign w:val="center"/>
          </w:tcPr>
          <w:p>
            <w:pPr>
              <w:pStyle w:val="TableBody"/>
              <w:spacing w:before="0" w:after="0" w:line="252" w:lineRule="auto"/>
              <w:jc w:val="left"/>
            </w:pPr>
            <w:r>
              <w:rPr>
                <w:rFonts w:ascii="Calibri" w:hAnsi="Calibri" w:eastAsia="Calibri"/>
                <w:b w:val="0"/>
                <w:color w:val="111827"/>
                <w:sz w:val="15"/>
              </w:rPr>
              <w:t>Supply domain theories, evidence, meanings, authority, causal laws, and evaluation rules.</w:t>
            </w:r>
          </w:p>
        </w:tc>
        <w:tc>
          <w:tcPr>
            <w:tcW w:type="dxa" w:w="3110"/>
            <w:vAlign w:val="center"/>
          </w:tcPr>
          <w:p>
            <w:pPr>
              <w:pStyle w:val="TableBody"/>
              <w:spacing w:before="0" w:after="0" w:line="252" w:lineRule="auto"/>
              <w:jc w:val="left"/>
            </w:pPr>
            <w:r>
              <w:rPr>
                <w:rFonts w:ascii="Calibri" w:hAnsi="Calibri" w:eastAsia="Calibri"/>
                <w:b w:val="0"/>
                <w:color w:val="111827"/>
                <w:sz w:val="15"/>
              </w:rPr>
              <w:t>Version, scope, evaluator, and standing stay visible.</w:t>
            </w:r>
          </w:p>
        </w:tc>
      </w:tr>
      <w:tr>
        <w:trPr>
          <w:cantSplit w:val="true"/>
        </w:trPr>
        <w:tc>
          <w:tcPr>
            <w:tcW w:type="dxa" w:w="1700"/>
            <w:vAlign w:val="center"/>
          </w:tcPr>
          <w:p>
            <w:pPr>
              <w:pStyle w:val="TableBody"/>
              <w:spacing w:before="0" w:after="0" w:line="252" w:lineRule="auto"/>
              <w:jc w:val="left"/>
            </w:pPr>
            <w:r>
              <w:rPr>
                <w:rFonts w:ascii="Calibri" w:hAnsi="Calibri" w:eastAsia="Calibri"/>
                <w:b w:val="0"/>
                <w:color w:val="111827"/>
                <w:sz w:val="15"/>
              </w:rPr>
              <w:t>Passage Theory</w:t>
            </w:r>
          </w:p>
        </w:tc>
        <w:tc>
          <w:tcPr>
            <w:tcW w:type="dxa" w:w="4550"/>
            <w:vAlign w:val="center"/>
          </w:tcPr>
          <w:p>
            <w:pPr>
              <w:pStyle w:val="TableBody"/>
              <w:spacing w:before="0" w:after="0" w:line="252" w:lineRule="auto"/>
              <w:jc w:val="left"/>
            </w:pPr>
            <w:r>
              <w:rPr>
                <w:rFonts w:ascii="Calibri" w:hAnsi="Calibri" w:eastAsia="Calibri"/>
                <w:b w:val="0"/>
                <w:color w:val="111827"/>
                <w:sz w:val="15"/>
              </w:rPr>
              <w:t>Supplies the general grammar of changing possibility.</w:t>
            </w:r>
          </w:p>
        </w:tc>
        <w:tc>
          <w:tcPr>
            <w:tcW w:type="dxa" w:w="3110"/>
            <w:vAlign w:val="center"/>
          </w:tcPr>
          <w:p>
            <w:pPr>
              <w:pStyle w:val="TableBody"/>
              <w:spacing w:before="0" w:after="0" w:line="252" w:lineRule="auto"/>
              <w:jc w:val="left"/>
            </w:pPr>
            <w:r>
              <w:rPr>
                <w:rFonts w:ascii="Calibri" w:hAnsi="Calibri" w:eastAsia="Calibri"/>
                <w:b w:val="0"/>
                <w:color w:val="111827"/>
                <w:sz w:val="15"/>
              </w:rPr>
              <w:t>No prediction until a local model supplies rules and evidence.</w:t>
            </w:r>
          </w:p>
        </w:tc>
      </w:tr>
      <w:tr>
        <w:trPr>
          <w:cantSplit w:val="true"/>
        </w:trPr>
        <w:tc>
          <w:tcPr>
            <w:tcW w:type="dxa" w:w="1700"/>
            <w:vAlign w:val="center"/>
          </w:tcPr>
          <w:p>
            <w:pPr>
              <w:pStyle w:val="TableBody"/>
              <w:spacing w:before="0" w:after="0" w:line="252" w:lineRule="auto"/>
              <w:jc w:val="left"/>
            </w:pPr>
            <w:r>
              <w:rPr>
                <w:rFonts w:ascii="Calibri" w:hAnsi="Calibri" w:eastAsia="Calibri"/>
                <w:b w:val="0"/>
                <w:color w:val="111827"/>
                <w:sz w:val="15"/>
              </w:rPr>
              <w:t>Passage Models or other theories</w:t>
            </w:r>
          </w:p>
        </w:tc>
        <w:tc>
          <w:tcPr>
            <w:tcW w:type="dxa" w:w="4550"/>
            <w:vAlign w:val="center"/>
          </w:tcPr>
          <w:p>
            <w:pPr>
              <w:pStyle w:val="TableBody"/>
              <w:spacing w:before="0" w:after="0" w:line="252" w:lineRule="auto"/>
              <w:jc w:val="left"/>
            </w:pPr>
            <w:r>
              <w:rPr>
                <w:rFonts w:ascii="Calibri" w:hAnsi="Calibri" w:eastAsia="Calibri"/>
                <w:b w:val="0"/>
                <w:color w:val="111827"/>
                <w:sz w:val="15"/>
              </w:rPr>
              <w:t>Bind that grammar locally and falsifiably.</w:t>
            </w:r>
          </w:p>
        </w:tc>
        <w:tc>
          <w:tcPr>
            <w:tcW w:type="dxa" w:w="3110"/>
            <w:vAlign w:val="center"/>
          </w:tcPr>
          <w:p>
            <w:pPr>
              <w:pStyle w:val="TableBody"/>
              <w:spacing w:before="0" w:after="0" w:line="252" w:lineRule="auto"/>
              <w:jc w:val="left"/>
            </w:pPr>
            <w:r>
              <w:rPr>
                <w:rFonts w:ascii="Calibri" w:hAnsi="Calibri" w:eastAsia="Calibri"/>
                <w:b w:val="0"/>
                <w:color w:val="111827"/>
                <w:sz w:val="15"/>
              </w:rPr>
              <w:t>Use only if material to the Return; otherwise NOT_REQUIRED.</w:t>
            </w:r>
          </w:p>
        </w:tc>
      </w:tr>
      <w:tr>
        <w:trPr>
          <w:cantSplit w:val="true"/>
        </w:trPr>
        <w:tc>
          <w:tcPr>
            <w:tcW w:type="dxa" w:w="1700"/>
            <w:vAlign w:val="center"/>
          </w:tcPr>
          <w:p>
            <w:pPr>
              <w:pStyle w:val="TableBody"/>
              <w:spacing w:before="0" w:after="0" w:line="252" w:lineRule="auto"/>
              <w:jc w:val="left"/>
            </w:pPr>
            <w:r>
              <w:rPr>
                <w:rFonts w:ascii="Calibri" w:hAnsi="Calibri" w:eastAsia="Calibri"/>
                <w:b w:val="0"/>
                <w:color w:val="111827"/>
                <w:sz w:val="15"/>
              </w:rPr>
              <w:t>Architecture+</w:t>
            </w:r>
          </w:p>
        </w:tc>
        <w:tc>
          <w:tcPr>
            <w:tcW w:type="dxa" w:w="4550"/>
            <w:vAlign w:val="center"/>
          </w:tcPr>
          <w:p>
            <w:pPr>
              <w:pStyle w:val="TableBody"/>
              <w:spacing w:before="0" w:after="0" w:line="252" w:lineRule="auto"/>
              <w:jc w:val="left"/>
            </w:pPr>
            <w:r>
              <w:rPr>
                <w:rFonts w:ascii="Calibri" w:hAnsi="Calibri" w:eastAsia="Calibri"/>
                <w:b w:val="0"/>
                <w:color w:val="111827"/>
                <w:sz w:val="15"/>
              </w:rPr>
              <w:t>Forms, challenges, selects, records bounded work or adapter requests, returns, and learns within declared limits.</w:t>
            </w:r>
          </w:p>
        </w:tc>
        <w:tc>
          <w:tcPr>
            <w:tcW w:type="dxa" w:w="3110"/>
            <w:vAlign w:val="center"/>
          </w:tcPr>
          <w:p>
            <w:pPr>
              <w:pStyle w:val="TableBody"/>
              <w:spacing w:before="0" w:after="0" w:line="252" w:lineRule="auto"/>
              <w:jc w:val="left"/>
            </w:pPr>
            <w:r>
              <w:rPr>
                <w:rFonts w:ascii="Calibri" w:hAnsi="Calibri" w:eastAsia="Calibri"/>
                <w:b w:val="0"/>
                <w:color w:val="111827"/>
                <w:sz w:val="15"/>
              </w:rPr>
              <w:t>Work proceeds only through declared actors and tools within their authority.</w:t>
            </w:r>
          </w:p>
        </w:tc>
      </w:tr>
      <w:tr>
        <w:trPr>
          <w:cantSplit w:val="true"/>
        </w:trPr>
        <w:tc>
          <w:tcPr>
            <w:tcW w:type="dxa" w:w="1700"/>
            <w:vAlign w:val="center"/>
          </w:tcPr>
          <w:p>
            <w:pPr>
              <w:pStyle w:val="TableBody"/>
              <w:spacing w:before="0" w:after="0" w:line="252" w:lineRule="auto"/>
              <w:jc w:val="left"/>
            </w:pPr>
            <w:r>
              <w:rPr>
                <w:rFonts w:ascii="Calibri" w:hAnsi="Calibri" w:eastAsia="Calibri"/>
                <w:b w:val="0"/>
                <w:color w:val="111827"/>
                <w:sz w:val="15"/>
              </w:rPr>
              <w:t>Earned Structure</w:t>
            </w:r>
          </w:p>
        </w:tc>
        <w:tc>
          <w:tcPr>
            <w:tcW w:type="dxa" w:w="4550"/>
            <w:vAlign w:val="center"/>
          </w:tcPr>
          <w:p>
            <w:pPr>
              <w:pStyle w:val="TableBody"/>
              <w:spacing w:before="0" w:after="0" w:line="252" w:lineRule="auto"/>
              <w:jc w:val="left"/>
            </w:pPr>
            <w:r>
              <w:rPr>
                <w:rFonts w:ascii="Calibri" w:hAnsi="Calibri" w:eastAsia="Calibri"/>
                <w:b w:val="0"/>
                <w:color w:val="111827"/>
                <w:sz w:val="15"/>
              </w:rPr>
              <w:t>Cross-cutting doctrine governing what may persist anywhere inside the system.</w:t>
            </w:r>
          </w:p>
        </w:tc>
        <w:tc>
          <w:tcPr>
            <w:tcW w:type="dxa" w:w="3110"/>
            <w:vAlign w:val="center"/>
          </w:tcPr>
          <w:p>
            <w:pPr>
              <w:pStyle w:val="TableBody"/>
              <w:spacing w:before="0" w:after="0" w:line="252" w:lineRule="auto"/>
              <w:jc w:val="left"/>
            </w:pPr>
            <w:r>
              <w:rPr>
                <w:rFonts w:ascii="Calibri" w:hAnsi="Calibri" w:eastAsia="Calibri"/>
                <w:b w:val="0"/>
                <w:color w:val="111827"/>
                <w:sz w:val="15"/>
              </w:rPr>
              <w:t>No persistence without delta, witness, scope, cost, expiry, and reentry.</w:t>
            </w:r>
          </w:p>
        </w:tc>
      </w:tr>
    </w:tbl>
    <w:p>
      <w:pPr>
        <w:spacing w:after="0"/>
      </w:pPr>
    </w:p>
    <w:p>
      <w:pPr>
        <w:pStyle w:val="Heading1"/>
      </w:pPr>
      <w:r>
        <w:t>2  The fifteen constitutional laws</w:t>
      </w:r>
    </w:p>
    <w:p>
      <w:pPr>
        <w:pStyle w:val="Kicker"/>
        <w:keepNext/>
      </w:pPr>
      <w:r>
        <w:rPr>
          <w:rFonts w:ascii="Calibri" w:hAnsi="Calibri" w:eastAsia="Calibri"/>
          <w:color w:val="667085"/>
        </w:rPr>
        <w:t>Always-on boundaries; detailed mechanisms remain conditional.</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000"/>
        <w:gridCol w:w="2000"/>
        <w:gridCol w:w="6360"/>
      </w:tblGrid>
      <w:tr>
        <w:trPr>
          <w:trHeight w:hRule="atLeast"/>
          <w:cantSplit w:val="true"/>
          <w:tblHeader w:val="true"/>
        </w:trPr>
        <w:tc>
          <w:tcPr>
            <w:tcW w:type="dxa" w:w="100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ID</w:t>
            </w:r>
          </w:p>
        </w:tc>
        <w:tc>
          <w:tcPr>
            <w:tcW w:type="dxa" w:w="200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Law</w:t>
            </w:r>
          </w:p>
        </w:tc>
        <w:tc>
          <w:tcPr>
            <w:tcW w:type="dxa" w:w="6360"/>
            <w:tcMar>
              <w:top w:w="80" w:type="dxa"/>
              <w:start w:w="120" w:type="dxa"/>
              <w:bottom w:w="80" w:type="dxa"/>
              <w:end w:w="120" w:type="dxa"/>
            </w:tcMar>
            <w:shd w:fill="E8EEF5" w:val="clear"/>
            <w:vAlign w:val="center"/>
          </w:tcPr>
          <w:p>
            <w:pPr>
              <w:pStyle w:val="TableBody"/>
              <w:spacing w:before="0" w:after="0" w:line="252" w:lineRule="auto"/>
              <w:jc w:val="left"/>
            </w:pPr>
            <w:r>
              <w:rPr>
                <w:rFonts w:ascii="Calibri" w:hAnsi="Calibri" w:eastAsia="Calibri"/>
                <w:b/>
                <w:color w:val="0B2545"/>
                <w:sz w:val="16"/>
              </w:rPr>
              <w:t>Operational rule</w:t>
            </w:r>
          </w:p>
        </w:tc>
      </w:tr>
      <w:tr>
        <w:trPr>
          <w:cantSplit w:val="true"/>
        </w:trPr>
        <w:tc>
          <w:tcPr>
            <w:tcW w:type="dxa" w:w="1000"/>
            <w:vAlign w:val="center"/>
          </w:tcPr>
          <w:p>
            <w:pPr>
              <w:pStyle w:val="TableBody"/>
              <w:spacing w:before="0" w:after="0" w:line="252" w:lineRule="auto"/>
              <w:jc w:val="left"/>
            </w:pPr>
            <w:r>
              <w:rPr>
                <w:rFonts w:ascii="Calibri" w:hAnsi="Calibri" w:eastAsia="Calibri"/>
                <w:b w:val="0"/>
                <w:color w:val="111827"/>
                <w:sz w:val="16"/>
              </w:rPr>
              <w:t>A+-L01</w:t>
            </w:r>
          </w:p>
        </w:tc>
        <w:tc>
          <w:tcPr>
            <w:tcW w:type="dxa" w:w="2000"/>
            <w:vAlign w:val="center"/>
          </w:tcPr>
          <w:p>
            <w:pPr>
              <w:pStyle w:val="TableBody"/>
              <w:spacing w:before="0" w:after="0" w:line="252" w:lineRule="auto"/>
              <w:jc w:val="left"/>
            </w:pPr>
            <w:r>
              <w:rPr>
                <w:rFonts w:ascii="Calibri" w:hAnsi="Calibri" w:eastAsia="Calibri"/>
                <w:b w:val="0"/>
                <w:color w:val="111827"/>
                <w:sz w:val="16"/>
              </w:rPr>
              <w:t>Reality boundary</w:t>
            </w:r>
          </w:p>
        </w:tc>
        <w:tc>
          <w:tcPr>
            <w:tcW w:type="dxa" w:w="6360"/>
            <w:vAlign w:val="center"/>
          </w:tcPr>
          <w:p>
            <w:pPr>
              <w:pStyle w:val="TableBody"/>
              <w:spacing w:before="0" w:after="0" w:line="252" w:lineRule="auto"/>
              <w:jc w:val="left"/>
            </w:pPr>
            <w:r>
              <w:rPr>
                <w:rFonts w:ascii="Calibri" w:hAnsi="Calibri" w:eastAsia="Calibri"/>
                <w:b w:val="0"/>
                <w:color w:val="111827"/>
                <w:sz w:val="16"/>
              </w:rPr>
              <w:t>The system contains representations, models, records, and observations, never reality itself.</w:t>
            </w:r>
          </w:p>
        </w:tc>
      </w:tr>
      <w:tr>
        <w:trPr>
          <w:cantSplit w:val="true"/>
        </w:trPr>
        <w:tc>
          <w:tcPr>
            <w:tcW w:type="dxa" w:w="1000"/>
            <w:vAlign w:val="center"/>
          </w:tcPr>
          <w:p>
            <w:pPr>
              <w:pStyle w:val="TableBody"/>
              <w:spacing w:before="0" w:after="0" w:line="252" w:lineRule="auto"/>
              <w:jc w:val="left"/>
            </w:pPr>
            <w:r>
              <w:rPr>
                <w:rFonts w:ascii="Calibri" w:hAnsi="Calibri" w:eastAsia="Calibri"/>
                <w:b w:val="0"/>
                <w:color w:val="111827"/>
                <w:sz w:val="16"/>
              </w:rPr>
              <w:t>A+-L02</w:t>
            </w:r>
          </w:p>
        </w:tc>
        <w:tc>
          <w:tcPr>
            <w:tcW w:type="dxa" w:w="2000"/>
            <w:vAlign w:val="center"/>
          </w:tcPr>
          <w:p>
            <w:pPr>
              <w:pStyle w:val="TableBody"/>
              <w:spacing w:before="0" w:after="0" w:line="252" w:lineRule="auto"/>
              <w:jc w:val="left"/>
            </w:pPr>
            <w:r>
              <w:rPr>
                <w:rFonts w:ascii="Calibri" w:hAnsi="Calibri" w:eastAsia="Calibri"/>
                <w:b w:val="0"/>
                <w:color w:val="111827"/>
                <w:sz w:val="16"/>
              </w:rPr>
              <w:t>Indexed use</w:t>
            </w:r>
          </w:p>
        </w:tc>
        <w:tc>
          <w:tcPr>
            <w:tcW w:type="dxa" w:w="6360"/>
            <w:vAlign w:val="center"/>
          </w:tcPr>
          <w:p>
            <w:pPr>
              <w:pStyle w:val="TableBody"/>
              <w:spacing w:before="0" w:after="0" w:line="252" w:lineRule="auto"/>
              <w:jc w:val="left"/>
            </w:pPr>
            <w:r>
              <w:rPr>
                <w:rFonts w:ascii="Calibri" w:hAnsi="Calibri" w:eastAsia="Calibri"/>
                <w:b w:val="0"/>
                <w:color w:val="111827"/>
                <w:sz w:val="16"/>
              </w:rPr>
              <w:t>Every result is indexed to Regime, Demand, Basis, scope, use, horizon, evaluator, dependencies, and support ceiling.</w:t>
            </w:r>
          </w:p>
        </w:tc>
      </w:tr>
      <w:tr>
        <w:trPr>
          <w:cantSplit w:val="true"/>
        </w:trPr>
        <w:tc>
          <w:tcPr>
            <w:tcW w:type="dxa" w:w="1000"/>
            <w:vAlign w:val="center"/>
          </w:tcPr>
          <w:p>
            <w:pPr>
              <w:pStyle w:val="TableBody"/>
              <w:spacing w:before="0" w:after="0" w:line="252" w:lineRule="auto"/>
              <w:jc w:val="left"/>
            </w:pPr>
            <w:r>
              <w:rPr>
                <w:rFonts w:ascii="Calibri" w:hAnsi="Calibri" w:eastAsia="Calibri"/>
                <w:b w:val="0"/>
                <w:color w:val="111827"/>
                <w:sz w:val="16"/>
              </w:rPr>
              <w:t>A+-L03</w:t>
            </w:r>
          </w:p>
        </w:tc>
        <w:tc>
          <w:tcPr>
            <w:tcW w:type="dxa" w:w="2000"/>
            <w:vAlign w:val="center"/>
          </w:tcPr>
          <w:p>
            <w:pPr>
              <w:pStyle w:val="TableBody"/>
              <w:spacing w:before="0" w:after="0" w:line="252" w:lineRule="auto"/>
              <w:jc w:val="left"/>
            </w:pPr>
            <w:r>
              <w:rPr>
                <w:rFonts w:ascii="Calibri" w:hAnsi="Calibri" w:eastAsia="Calibri"/>
                <w:b w:val="0"/>
                <w:color w:val="111827"/>
                <w:sz w:val="16"/>
              </w:rPr>
              <w:t>Native formation</w:t>
            </w:r>
          </w:p>
        </w:tc>
        <w:tc>
          <w:tcPr>
            <w:tcW w:type="dxa" w:w="6360"/>
            <w:vAlign w:val="center"/>
          </w:tcPr>
          <w:p>
            <w:pPr>
              <w:pStyle w:val="TableBody"/>
              <w:spacing w:before="0" w:after="0" w:line="252" w:lineRule="auto"/>
              <w:jc w:val="left"/>
            </w:pPr>
            <w:r>
              <w:rPr>
                <w:rFonts w:ascii="Calibri" w:hAnsi="Calibri" w:eastAsia="Calibri"/>
                <w:b w:val="0"/>
                <w:color w:val="111827"/>
                <w:sz w:val="16"/>
              </w:rPr>
              <w:t>Preserve a native candidate before Architecture+-specific scaffolding unless GUIDED mode is explicitly selected.</w:t>
            </w:r>
          </w:p>
        </w:tc>
      </w:tr>
      <w:tr>
        <w:trPr>
          <w:cantSplit w:val="true"/>
        </w:trPr>
        <w:tc>
          <w:tcPr>
            <w:tcW w:type="dxa" w:w="1000"/>
            <w:vAlign w:val="center"/>
          </w:tcPr>
          <w:p>
            <w:pPr>
              <w:pStyle w:val="TableBody"/>
              <w:spacing w:before="0" w:after="0" w:line="252" w:lineRule="auto"/>
              <w:jc w:val="left"/>
            </w:pPr>
            <w:r>
              <w:rPr>
                <w:rFonts w:ascii="Calibri" w:hAnsi="Calibri" w:eastAsia="Calibri"/>
                <w:b w:val="0"/>
                <w:color w:val="111827"/>
                <w:sz w:val="16"/>
              </w:rPr>
              <w:t>A+-L04</w:t>
            </w:r>
          </w:p>
        </w:tc>
        <w:tc>
          <w:tcPr>
            <w:tcW w:type="dxa" w:w="2000"/>
            <w:vAlign w:val="center"/>
          </w:tcPr>
          <w:p>
            <w:pPr>
              <w:pStyle w:val="TableBody"/>
              <w:spacing w:before="0" w:after="0" w:line="252" w:lineRule="auto"/>
              <w:jc w:val="left"/>
            </w:pPr>
            <w:r>
              <w:rPr>
                <w:rFonts w:ascii="Calibri" w:hAnsi="Calibri" w:eastAsia="Calibri"/>
                <w:b w:val="0"/>
                <w:color w:val="111827"/>
                <w:sz w:val="16"/>
              </w:rPr>
              <w:t>Consequence-bearing structure</w:t>
            </w:r>
          </w:p>
        </w:tc>
        <w:tc>
          <w:tcPr>
            <w:tcW w:type="dxa" w:w="6360"/>
            <w:vAlign w:val="center"/>
          </w:tcPr>
          <w:p>
            <w:pPr>
              <w:pStyle w:val="TableBody"/>
              <w:spacing w:before="0" w:after="0" w:line="252" w:lineRule="auto"/>
              <w:jc w:val="left"/>
            </w:pPr>
            <w:r>
              <w:rPr>
                <w:rFonts w:ascii="Calibri" w:hAnsi="Calibri" w:eastAsia="Calibri"/>
                <w:b w:val="0"/>
                <w:color w:val="111827"/>
                <w:sz w:val="16"/>
              </w:rPr>
              <w:t>Admit structure only when changing or removing it changes a declared Return, protected condition, obligation, reentry, or critical-error exposure.</w:t>
            </w:r>
          </w:p>
        </w:tc>
      </w:tr>
      <w:tr>
        <w:trPr>
          <w:cantSplit w:val="true"/>
        </w:trPr>
        <w:tc>
          <w:tcPr>
            <w:tcW w:type="dxa" w:w="1000"/>
            <w:vAlign w:val="center"/>
          </w:tcPr>
          <w:p>
            <w:pPr>
              <w:pStyle w:val="TableBody"/>
              <w:spacing w:before="0" w:after="0" w:line="252" w:lineRule="auto"/>
              <w:jc w:val="left"/>
            </w:pPr>
            <w:r>
              <w:rPr>
                <w:rFonts w:ascii="Calibri" w:hAnsi="Calibri" w:eastAsia="Calibri"/>
                <w:b w:val="0"/>
                <w:color w:val="111827"/>
                <w:sz w:val="16"/>
              </w:rPr>
              <w:t>A+-L05</w:t>
            </w:r>
          </w:p>
        </w:tc>
        <w:tc>
          <w:tcPr>
            <w:tcW w:type="dxa" w:w="2000"/>
            <w:vAlign w:val="center"/>
          </w:tcPr>
          <w:p>
            <w:pPr>
              <w:pStyle w:val="TableBody"/>
              <w:spacing w:before="0" w:after="0" w:line="252" w:lineRule="auto"/>
              <w:jc w:val="left"/>
            </w:pPr>
            <w:r>
              <w:rPr>
                <w:rFonts w:ascii="Calibri" w:hAnsi="Calibri" w:eastAsia="Calibri"/>
                <w:b w:val="0"/>
                <w:color w:val="111827"/>
                <w:sz w:val="16"/>
              </w:rPr>
              <w:t>Literal preservation</w:t>
            </w:r>
          </w:p>
        </w:tc>
        <w:tc>
          <w:tcPr>
            <w:tcW w:type="dxa" w:w="6360"/>
            <w:vAlign w:val="center"/>
          </w:tcPr>
          <w:p>
            <w:pPr>
              <w:pStyle w:val="TableBody"/>
              <w:spacing w:before="0" w:after="0" w:line="252" w:lineRule="auto"/>
              <w:jc w:val="left"/>
            </w:pPr>
            <w:r>
              <w:rPr>
                <w:rFonts w:ascii="Calibri" w:hAnsi="Calibri" w:eastAsia="Calibri"/>
                <w:b w:val="0"/>
                <w:color w:val="111827"/>
                <w:sz w:val="16"/>
              </w:rPr>
              <w:t>Direction, polarity, negation, connective, scope, order, threshold, exception, time, and reset remain literal when consequential.</w:t>
            </w:r>
          </w:p>
        </w:tc>
      </w:tr>
      <w:tr>
        <w:trPr>
          <w:cantSplit w:val="true"/>
        </w:trPr>
        <w:tc>
          <w:tcPr>
            <w:tcW w:type="dxa" w:w="1000"/>
            <w:vAlign w:val="center"/>
          </w:tcPr>
          <w:p>
            <w:pPr>
              <w:pStyle w:val="TableBody"/>
              <w:spacing w:before="0" w:after="0" w:line="252" w:lineRule="auto"/>
              <w:jc w:val="left"/>
            </w:pPr>
            <w:r>
              <w:rPr>
                <w:rFonts w:ascii="Calibri" w:hAnsi="Calibri" w:eastAsia="Calibri"/>
                <w:b w:val="0"/>
                <w:color w:val="111827"/>
                <w:sz w:val="16"/>
              </w:rPr>
              <w:t>A+-L06</w:t>
            </w:r>
          </w:p>
        </w:tc>
        <w:tc>
          <w:tcPr>
            <w:tcW w:type="dxa" w:w="2000"/>
            <w:vAlign w:val="center"/>
          </w:tcPr>
          <w:p>
            <w:pPr>
              <w:pStyle w:val="TableBody"/>
              <w:spacing w:before="0" w:after="0" w:line="252" w:lineRule="auto"/>
              <w:jc w:val="left"/>
            </w:pPr>
            <w:r>
              <w:rPr>
                <w:rFonts w:ascii="Calibri" w:hAnsi="Calibri" w:eastAsia="Calibri"/>
                <w:b w:val="0"/>
                <w:color w:val="111827"/>
                <w:sz w:val="16"/>
              </w:rPr>
              <w:t>Layer separation</w:t>
            </w:r>
          </w:p>
        </w:tc>
        <w:tc>
          <w:tcPr>
            <w:tcW w:type="dxa" w:w="6360"/>
            <w:vAlign w:val="center"/>
          </w:tcPr>
          <w:p>
            <w:pPr>
              <w:pStyle w:val="TableBody"/>
              <w:spacing w:before="0" w:after="0" w:line="252" w:lineRule="auto"/>
              <w:jc w:val="left"/>
            </w:pPr>
            <w:r>
              <w:rPr>
                <w:rFonts w:ascii="Calibri" w:hAnsi="Calibri" w:eastAsia="Calibri"/>
                <w:b w:val="0"/>
                <w:color w:val="111827"/>
                <w:sz w:val="16"/>
              </w:rPr>
              <w:t>Source, assertion, evidence, warrant, Judgment, Standing, choice, permission, attempt, execution, occurrence, observation, attribution, effect, and durability remain separately earned.</w:t>
            </w:r>
          </w:p>
        </w:tc>
      </w:tr>
      <w:tr>
        <w:trPr>
          <w:cantSplit w:val="true"/>
        </w:trPr>
        <w:tc>
          <w:tcPr>
            <w:tcW w:type="dxa" w:w="1000"/>
            <w:vAlign w:val="center"/>
          </w:tcPr>
          <w:p>
            <w:pPr>
              <w:pStyle w:val="TableBody"/>
              <w:spacing w:before="0" w:after="0" w:line="252" w:lineRule="auto"/>
              <w:jc w:val="left"/>
            </w:pPr>
            <w:r>
              <w:rPr>
                <w:rFonts w:ascii="Calibri" w:hAnsi="Calibri" w:eastAsia="Calibri"/>
                <w:b w:val="0"/>
                <w:color w:val="111827"/>
                <w:sz w:val="16"/>
              </w:rPr>
              <w:t>A+-L07</w:t>
            </w:r>
          </w:p>
        </w:tc>
        <w:tc>
          <w:tcPr>
            <w:tcW w:type="dxa" w:w="2000"/>
            <w:vAlign w:val="center"/>
          </w:tcPr>
          <w:p>
            <w:pPr>
              <w:pStyle w:val="TableBody"/>
              <w:spacing w:before="0" w:after="0" w:line="252" w:lineRule="auto"/>
              <w:jc w:val="left"/>
            </w:pPr>
            <w:r>
              <w:rPr>
                <w:rFonts w:ascii="Calibri" w:hAnsi="Calibri" w:eastAsia="Calibri"/>
                <w:b w:val="0"/>
                <w:color w:val="111827"/>
                <w:sz w:val="16"/>
              </w:rPr>
              <w:t>Bounded passage</w:t>
            </w:r>
          </w:p>
        </w:tc>
        <w:tc>
          <w:tcPr>
            <w:tcW w:type="dxa" w:w="6360"/>
            <w:vAlign w:val="center"/>
          </w:tcPr>
          <w:p>
            <w:pPr>
              <w:pStyle w:val="TableBody"/>
              <w:spacing w:before="0" w:after="0" w:line="252" w:lineRule="auto"/>
              <w:jc w:val="left"/>
            </w:pPr>
            <w:r>
              <w:rPr>
                <w:rFonts w:ascii="Calibri" w:hAnsi="Calibri" w:eastAsia="Calibri"/>
                <w:b w:val="0"/>
                <w:color w:val="111827"/>
                <w:sz w:val="16"/>
              </w:rPr>
              <w:t>Translation, transformation, compression, composition, copy, movement, replacement, and succession carry only declared material and guarantees.</w:t>
            </w:r>
          </w:p>
        </w:tc>
      </w:tr>
      <w:tr>
        <w:trPr>
          <w:cantSplit w:val="true"/>
        </w:trPr>
        <w:tc>
          <w:tcPr>
            <w:tcW w:type="dxa" w:w="1000"/>
            <w:vAlign w:val="center"/>
          </w:tcPr>
          <w:p>
            <w:pPr>
              <w:pStyle w:val="TableBody"/>
              <w:spacing w:before="0" w:after="0" w:line="252" w:lineRule="auto"/>
              <w:jc w:val="left"/>
            </w:pPr>
            <w:r>
              <w:rPr>
                <w:rFonts w:ascii="Calibri" w:hAnsi="Calibri" w:eastAsia="Calibri"/>
                <w:b w:val="0"/>
                <w:color w:val="111827"/>
                <w:sz w:val="16"/>
              </w:rPr>
              <w:t>A+-L08</w:t>
            </w:r>
          </w:p>
        </w:tc>
        <w:tc>
          <w:tcPr>
            <w:tcW w:type="dxa" w:w="2000"/>
            <w:vAlign w:val="center"/>
          </w:tcPr>
          <w:p>
            <w:pPr>
              <w:pStyle w:val="TableBody"/>
              <w:spacing w:before="0" w:after="0" w:line="252" w:lineRule="auto"/>
              <w:jc w:val="left"/>
            </w:pPr>
            <w:r>
              <w:rPr>
                <w:rFonts w:ascii="Calibri" w:hAnsi="Calibri" w:eastAsia="Calibri"/>
                <w:b w:val="0"/>
                <w:color w:val="111827"/>
                <w:sz w:val="16"/>
              </w:rPr>
              <w:t>Symmetric challenge</w:t>
            </w:r>
          </w:p>
        </w:tc>
        <w:tc>
          <w:tcPr>
            <w:tcW w:type="dxa" w:w="6360"/>
            <w:vAlign w:val="center"/>
          </w:tcPr>
          <w:p>
            <w:pPr>
              <w:pStyle w:val="TableBody"/>
              <w:spacing w:before="0" w:after="0" w:line="252" w:lineRule="auto"/>
              <w:jc w:val="left"/>
            </w:pPr>
            <w:r>
              <w:rPr>
                <w:rFonts w:ascii="Calibri" w:hAnsi="Calibri" w:eastAsia="Calibri"/>
                <w:b w:val="0"/>
                <w:color w:val="111827"/>
                <w:sz w:val="16"/>
              </w:rPr>
              <w:t>Candidate and rival face the same criteria, budget, and burden. Skepticism receives no automatic authority.</w:t>
            </w:r>
          </w:p>
        </w:tc>
      </w:tr>
      <w:tr>
        <w:trPr>
          <w:cantSplit w:val="true"/>
        </w:trPr>
        <w:tc>
          <w:tcPr>
            <w:tcW w:type="dxa" w:w="1000"/>
            <w:vAlign w:val="center"/>
          </w:tcPr>
          <w:p>
            <w:pPr>
              <w:pStyle w:val="TableBody"/>
              <w:spacing w:before="0" w:after="0" w:line="252" w:lineRule="auto"/>
              <w:jc w:val="left"/>
            </w:pPr>
            <w:r>
              <w:rPr>
                <w:rFonts w:ascii="Calibri" w:hAnsi="Calibri" w:eastAsia="Calibri"/>
                <w:b w:val="0"/>
                <w:color w:val="111827"/>
                <w:sz w:val="16"/>
              </w:rPr>
              <w:t>A+-L09</w:t>
            </w:r>
          </w:p>
        </w:tc>
        <w:tc>
          <w:tcPr>
            <w:tcW w:type="dxa" w:w="2000"/>
            <w:vAlign w:val="center"/>
          </w:tcPr>
          <w:p>
            <w:pPr>
              <w:pStyle w:val="TableBody"/>
              <w:spacing w:before="0" w:after="0" w:line="252" w:lineRule="auto"/>
              <w:jc w:val="left"/>
            </w:pPr>
            <w:r>
              <w:rPr>
                <w:rFonts w:ascii="Calibri" w:hAnsi="Calibri" w:eastAsia="Calibri"/>
                <w:b w:val="0"/>
                <w:color w:val="111827"/>
                <w:sz w:val="16"/>
              </w:rPr>
              <w:t>Adaptive economy</w:t>
            </w:r>
          </w:p>
        </w:tc>
        <w:tc>
          <w:tcPr>
            <w:tcW w:type="dxa" w:w="6360"/>
            <w:vAlign w:val="center"/>
          </w:tcPr>
          <w:p>
            <w:pPr>
              <w:pStyle w:val="TableBody"/>
              <w:spacing w:before="0" w:after="0" w:line="252" w:lineRule="auto"/>
              <w:jc w:val="left"/>
            </w:pPr>
            <w:r>
              <w:rPr>
                <w:rFonts w:ascii="Calibri" w:hAnsi="Calibri" w:eastAsia="Calibri"/>
                <w:b w:val="0"/>
                <w:color w:val="111827"/>
                <w:sz w:val="16"/>
              </w:rPr>
              <w:t>Choose the cheapest admissible Move likely to change a material field. Repeating a nonproductive view is not progress.</w:t>
            </w:r>
          </w:p>
        </w:tc>
      </w:tr>
      <w:tr>
        <w:trPr>
          <w:cantSplit w:val="true"/>
        </w:trPr>
        <w:tc>
          <w:tcPr>
            <w:tcW w:type="dxa" w:w="1000"/>
            <w:vAlign w:val="center"/>
          </w:tcPr>
          <w:p>
            <w:pPr>
              <w:pStyle w:val="TableBody"/>
              <w:spacing w:before="0" w:after="0" w:line="252" w:lineRule="auto"/>
              <w:jc w:val="left"/>
            </w:pPr>
            <w:r>
              <w:rPr>
                <w:rFonts w:ascii="Calibri" w:hAnsi="Calibri" w:eastAsia="Calibri"/>
                <w:b w:val="0"/>
                <w:color w:val="111827"/>
                <w:sz w:val="16"/>
              </w:rPr>
              <w:t>A+-L10</w:t>
            </w:r>
          </w:p>
        </w:tc>
        <w:tc>
          <w:tcPr>
            <w:tcW w:type="dxa" w:w="2000"/>
            <w:vAlign w:val="center"/>
          </w:tcPr>
          <w:p>
            <w:pPr>
              <w:pStyle w:val="TableBody"/>
              <w:spacing w:before="0" w:after="0" w:line="252" w:lineRule="auto"/>
              <w:jc w:val="left"/>
            </w:pPr>
            <w:r>
              <w:rPr>
                <w:rFonts w:ascii="Calibri" w:hAnsi="Calibri" w:eastAsia="Calibri"/>
                <w:b w:val="0"/>
                <w:color w:val="111827"/>
                <w:sz w:val="16"/>
              </w:rPr>
              <w:t>Frozen execution</w:t>
            </w:r>
          </w:p>
        </w:tc>
        <w:tc>
          <w:tcPr>
            <w:tcW w:type="dxa" w:w="6360"/>
            <w:vAlign w:val="center"/>
          </w:tcPr>
          <w:p>
            <w:pPr>
              <w:pStyle w:val="TableBody"/>
              <w:spacing w:before="0" w:after="0" w:line="252" w:lineRule="auto"/>
              <w:jc w:val="left"/>
            </w:pPr>
            <w:r>
              <w:rPr>
                <w:rFonts w:ascii="Calibri" w:hAnsi="Calibri" w:eastAsia="Calibri"/>
                <w:b w:val="0"/>
                <w:color w:val="111827"/>
                <w:sz w:val="16"/>
              </w:rPr>
              <w:t>Consequential execution uses one fingerprinted Seal. New material dependencies require reopening and a new Seal.</w:t>
            </w:r>
          </w:p>
        </w:tc>
      </w:tr>
      <w:tr>
        <w:trPr>
          <w:cantSplit w:val="true"/>
        </w:trPr>
        <w:tc>
          <w:tcPr>
            <w:tcW w:type="dxa" w:w="1000"/>
            <w:vAlign w:val="center"/>
          </w:tcPr>
          <w:p>
            <w:pPr>
              <w:pStyle w:val="TableBody"/>
              <w:spacing w:before="0" w:after="0" w:line="252" w:lineRule="auto"/>
              <w:jc w:val="left"/>
            </w:pPr>
            <w:r>
              <w:rPr>
                <w:rFonts w:ascii="Calibri" w:hAnsi="Calibri" w:eastAsia="Calibri"/>
                <w:b w:val="0"/>
                <w:color w:val="111827"/>
                <w:sz w:val="16"/>
              </w:rPr>
              <w:t>A+-L11</w:t>
            </w:r>
          </w:p>
        </w:tc>
        <w:tc>
          <w:tcPr>
            <w:tcW w:type="dxa" w:w="2000"/>
            <w:vAlign w:val="center"/>
          </w:tcPr>
          <w:p>
            <w:pPr>
              <w:pStyle w:val="TableBody"/>
              <w:spacing w:before="0" w:after="0" w:line="252" w:lineRule="auto"/>
              <w:jc w:val="left"/>
            </w:pPr>
            <w:r>
              <w:rPr>
                <w:rFonts w:ascii="Calibri" w:hAnsi="Calibri" w:eastAsia="Calibri"/>
                <w:b w:val="0"/>
                <w:color w:val="111827"/>
                <w:sz w:val="16"/>
              </w:rPr>
              <w:t>Non-scalar consequence</w:t>
            </w:r>
          </w:p>
        </w:tc>
        <w:tc>
          <w:tcPr>
            <w:tcW w:type="dxa" w:w="6360"/>
            <w:vAlign w:val="center"/>
          </w:tcPr>
          <w:p>
            <w:pPr>
              <w:pStyle w:val="TableBody"/>
              <w:spacing w:before="0" w:after="0" w:line="252" w:lineRule="auto"/>
              <w:jc w:val="left"/>
            </w:pPr>
            <w:r>
              <w:rPr>
                <w:rFonts w:ascii="Calibri" w:hAnsi="Calibri" w:eastAsia="Calibri"/>
                <w:b w:val="0"/>
                <w:color w:val="111827"/>
                <w:sz w:val="16"/>
              </w:rPr>
              <w:t>Preserve distributions, burdens, role winners, partial orders, and incomparability.</w:t>
            </w:r>
          </w:p>
        </w:tc>
      </w:tr>
      <w:tr>
        <w:trPr>
          <w:cantSplit w:val="true"/>
        </w:trPr>
        <w:tc>
          <w:tcPr>
            <w:tcW w:type="dxa" w:w="1000"/>
            <w:vAlign w:val="center"/>
          </w:tcPr>
          <w:p>
            <w:pPr>
              <w:pStyle w:val="TableBody"/>
              <w:spacing w:before="0" w:after="0" w:line="252" w:lineRule="auto"/>
              <w:jc w:val="left"/>
            </w:pPr>
            <w:r>
              <w:rPr>
                <w:rFonts w:ascii="Calibri" w:hAnsi="Calibri" w:eastAsia="Calibri"/>
                <w:b w:val="0"/>
                <w:color w:val="111827"/>
                <w:sz w:val="16"/>
              </w:rPr>
              <w:t>A+-L12</w:t>
            </w:r>
          </w:p>
        </w:tc>
        <w:tc>
          <w:tcPr>
            <w:tcW w:type="dxa" w:w="2000"/>
            <w:vAlign w:val="center"/>
          </w:tcPr>
          <w:p>
            <w:pPr>
              <w:pStyle w:val="TableBody"/>
              <w:spacing w:before="0" w:after="0" w:line="252" w:lineRule="auto"/>
              <w:jc w:val="left"/>
            </w:pPr>
            <w:r>
              <w:rPr>
                <w:rFonts w:ascii="Calibri" w:hAnsi="Calibri" w:eastAsia="Calibri"/>
                <w:b w:val="0"/>
                <w:color w:val="111827"/>
                <w:sz w:val="16"/>
              </w:rPr>
              <w:t>Exact disposition</w:t>
            </w:r>
          </w:p>
        </w:tc>
        <w:tc>
          <w:tcPr>
            <w:tcW w:type="dxa" w:w="6360"/>
            <w:vAlign w:val="center"/>
          </w:tcPr>
          <w:p>
            <w:pPr>
              <w:pStyle w:val="TableBody"/>
              <w:spacing w:before="0" w:after="0" w:line="252" w:lineRule="auto"/>
              <w:jc w:val="left"/>
            </w:pPr>
            <w:r>
              <w:rPr>
                <w:rFonts w:ascii="Calibri" w:hAnsi="Calibri" w:eastAsia="Calibri"/>
                <w:b w:val="0"/>
                <w:color w:val="111827"/>
                <w:sz w:val="16"/>
              </w:rPr>
              <w:t>Negative, absent, unknown, conflicted, blocked, incomparable, redacted, empty, and not applicable never collapse into one null.</w:t>
            </w:r>
          </w:p>
        </w:tc>
      </w:tr>
      <w:tr>
        <w:trPr>
          <w:cantSplit w:val="true"/>
        </w:trPr>
        <w:tc>
          <w:tcPr>
            <w:tcW w:type="dxa" w:w="1000"/>
            <w:vAlign w:val="center"/>
          </w:tcPr>
          <w:p>
            <w:pPr>
              <w:pStyle w:val="TableBody"/>
              <w:spacing w:before="0" w:after="0" w:line="252" w:lineRule="auto"/>
              <w:jc w:val="left"/>
            </w:pPr>
            <w:r>
              <w:rPr>
                <w:rFonts w:ascii="Calibri" w:hAnsi="Calibri" w:eastAsia="Calibri"/>
                <w:b w:val="0"/>
                <w:color w:val="111827"/>
                <w:sz w:val="16"/>
              </w:rPr>
              <w:t>A+-L13</w:t>
            </w:r>
          </w:p>
        </w:tc>
        <w:tc>
          <w:tcPr>
            <w:tcW w:type="dxa" w:w="2000"/>
            <w:vAlign w:val="center"/>
          </w:tcPr>
          <w:p>
            <w:pPr>
              <w:pStyle w:val="TableBody"/>
              <w:spacing w:before="0" w:after="0" w:line="252" w:lineRule="auto"/>
              <w:jc w:val="left"/>
            </w:pPr>
            <w:r>
              <w:rPr>
                <w:rFonts w:ascii="Calibri" w:hAnsi="Calibri" w:eastAsia="Calibri"/>
                <w:b w:val="0"/>
                <w:color w:val="111827"/>
                <w:sz w:val="16"/>
              </w:rPr>
              <w:t>Reverse accountability</w:t>
            </w:r>
          </w:p>
        </w:tc>
        <w:tc>
          <w:tcPr>
            <w:tcW w:type="dxa" w:w="6360"/>
            <w:vAlign w:val="center"/>
          </w:tcPr>
          <w:p>
            <w:pPr>
              <w:pStyle w:val="TableBody"/>
              <w:spacing w:before="0" w:after="0" w:line="252" w:lineRule="auto"/>
              <w:jc w:val="left"/>
            </w:pPr>
            <w:r>
              <w:rPr>
                <w:rFonts w:ascii="Calibri" w:hAnsi="Calibri" w:eastAsia="Calibri"/>
                <w:b w:val="0"/>
                <w:color w:val="111827"/>
                <w:sz w:val="16"/>
              </w:rPr>
              <w:t>Every authoritative Return component traces to its Seal, Bindings, Basis, source, and Demand.</w:t>
            </w:r>
          </w:p>
        </w:tc>
      </w:tr>
      <w:tr>
        <w:trPr>
          <w:cantSplit w:val="true"/>
        </w:trPr>
        <w:tc>
          <w:tcPr>
            <w:tcW w:type="dxa" w:w="1000"/>
            <w:vAlign w:val="center"/>
          </w:tcPr>
          <w:p>
            <w:pPr>
              <w:pStyle w:val="TableBody"/>
              <w:spacing w:before="0" w:after="0" w:line="252" w:lineRule="auto"/>
              <w:jc w:val="left"/>
            </w:pPr>
            <w:r>
              <w:rPr>
                <w:rFonts w:ascii="Calibri" w:hAnsi="Calibri" w:eastAsia="Calibri"/>
                <w:b w:val="0"/>
                <w:color w:val="111827"/>
                <w:sz w:val="16"/>
              </w:rPr>
              <w:t>A+-L14</w:t>
            </w:r>
          </w:p>
        </w:tc>
        <w:tc>
          <w:tcPr>
            <w:tcW w:type="dxa" w:w="2000"/>
            <w:vAlign w:val="center"/>
          </w:tcPr>
          <w:p>
            <w:pPr>
              <w:pStyle w:val="TableBody"/>
              <w:spacing w:before="0" w:after="0" w:line="252" w:lineRule="auto"/>
              <w:jc w:val="left"/>
            </w:pPr>
            <w:r>
              <w:rPr>
                <w:rFonts w:ascii="Calibri" w:hAnsi="Calibri" w:eastAsia="Calibri"/>
                <w:b w:val="0"/>
                <w:color w:val="111827"/>
                <w:sz w:val="16"/>
              </w:rPr>
              <w:t>Selective reopening</w:t>
            </w:r>
          </w:p>
        </w:tc>
        <w:tc>
          <w:tcPr>
            <w:tcW w:type="dxa" w:w="6360"/>
            <w:vAlign w:val="center"/>
          </w:tcPr>
          <w:p>
            <w:pPr>
              <w:pStyle w:val="TableBody"/>
              <w:spacing w:before="0" w:after="0" w:line="252" w:lineRule="auto"/>
              <w:jc w:val="left"/>
            </w:pPr>
            <w:r>
              <w:rPr>
                <w:rFonts w:ascii="Calibri" w:hAnsi="Calibri" w:eastAsia="Calibri"/>
                <w:b w:val="0"/>
                <w:color w:val="111827"/>
                <w:sz w:val="16"/>
              </w:rPr>
              <w:t>Change invalidates only dependency-reachable components; unaffected carryover requires a complete disjoint trace.</w:t>
            </w:r>
          </w:p>
        </w:tc>
      </w:tr>
      <w:tr>
        <w:trPr>
          <w:cantSplit w:val="true"/>
        </w:trPr>
        <w:tc>
          <w:tcPr>
            <w:tcW w:type="dxa" w:w="1000"/>
            <w:vAlign w:val="center"/>
          </w:tcPr>
          <w:p>
            <w:pPr>
              <w:pStyle w:val="TableBody"/>
              <w:spacing w:before="0" w:after="0" w:line="252" w:lineRule="auto"/>
              <w:jc w:val="left"/>
            </w:pPr>
            <w:r>
              <w:rPr>
                <w:rFonts w:ascii="Calibri" w:hAnsi="Calibri" w:eastAsia="Calibri"/>
                <w:b w:val="0"/>
                <w:color w:val="111827"/>
                <w:sz w:val="16"/>
              </w:rPr>
              <w:t>A+-L15</w:t>
            </w:r>
          </w:p>
        </w:tc>
        <w:tc>
          <w:tcPr>
            <w:tcW w:type="dxa" w:w="2000"/>
            <w:vAlign w:val="center"/>
          </w:tcPr>
          <w:p>
            <w:pPr>
              <w:pStyle w:val="TableBody"/>
              <w:spacing w:before="0" w:after="0" w:line="252" w:lineRule="auto"/>
              <w:jc w:val="left"/>
            </w:pPr>
            <w:r>
              <w:rPr>
                <w:rFonts w:ascii="Calibri" w:hAnsi="Calibri" w:eastAsia="Calibri"/>
                <w:b w:val="0"/>
                <w:color w:val="111827"/>
                <w:sz w:val="16"/>
              </w:rPr>
              <w:t>Leased learning</w:t>
            </w:r>
          </w:p>
        </w:tc>
        <w:tc>
          <w:tcPr>
            <w:tcW w:type="dxa" w:w="6360"/>
            <w:vAlign w:val="center"/>
          </w:tcPr>
          <w:p>
            <w:pPr>
              <w:pStyle w:val="TableBody"/>
              <w:spacing w:before="0" w:after="0" w:line="252" w:lineRule="auto"/>
              <w:jc w:val="left"/>
            </w:pPr>
            <w:r>
              <w:rPr>
                <w:rFonts w:ascii="Calibri" w:hAnsi="Calibri" w:eastAsia="Calibri"/>
                <w:b w:val="0"/>
                <w:color w:val="111827"/>
                <w:sz w:val="16"/>
              </w:rPr>
              <w:t>Feedback may revise later models, selectors, or leases only under a declared outcome and attribution model; usefulness never manufactures truth, rights, authority, safety, or legitimacy.</w:t>
            </w:r>
          </w:p>
        </w:tc>
      </w:tr>
    </w:tbl>
    <w:p>
      <w:pPr>
        <w:spacing w:after="0"/>
      </w:pPr>
    </w:p>
    <w:p>
      <w:pPr>
        <w:pStyle w:val="Heading1"/>
      </w:pPr>
      <w:r>
        <w:t>3  Passage Theory</w:t>
      </w:r>
    </w:p>
    <w:p>
      <w:pPr>
        <w:pStyle w:val="Kicker"/>
        <w:keepNext/>
      </w:pPr>
      <w:r>
        <w:rPr>
          <w:rFonts w:ascii="Calibri" w:hAnsi="Calibri" w:eastAsia="Calibri"/>
          <w:color w:val="667085"/>
        </w:rPr>
        <w:t>The foundational dynamics theory — powerful when local, false when universalized.</w:t>
      </w:r>
    </w:p>
    <w:tbl>
      <w:tblPr>
        <w:tblW w:type="dxa" w:w="9360"/>
        <w:tblLayout w:type="fixed"/>
        <w:tblLook w:firstColumn="1" w:firstRow="1" w:lastColumn="0" w:lastRow="0" w:noHBand="0" w:noVBand="1" w:val="04A0"/>
        <w:tblInd w:w="120" w:type="dxa"/>
        <w:tblBorders>
          <w:top w:val="single" w:sz="0" w:space="0" w:color="E8EEF5"/>
          <w:left w:val="single" w:sz="0" w:space="0" w:color="E8EEF5"/>
          <w:bottom w:val="single" w:sz="0" w:space="0" w:color="E8EEF5"/>
          <w:right w:val="single" w:sz="0" w:space="0" w:color="E8EEF5"/>
          <w:insideH w:val="single" w:sz="0" w:space="0" w:color="E8EEF5"/>
          <w:insideV w:val="single" w:sz="0" w:space="0" w:color="E8EEF5"/>
        </w:tblBorders>
      </w:tblPr>
      <w:tblGrid>
        <w:gridCol w:w="9360"/>
      </w:tblGrid>
      <w:tr>
        <w:trPr>
          <w:trHeight w:hRule="atLeast"/>
          <w:cantSplit w:val="true"/>
          <w:tblHeader w:val="true"/>
        </w:trPr>
        <w:tc>
          <w:tcPr>
            <w:tcW w:type="dxa" w:w="9360"/>
            <w:tcMar>
              <w:top w:w="80" w:type="dxa"/>
              <w:start w:w="120" w:type="dxa"/>
              <w:bottom w:w="80" w:type="dxa"/>
              <w:end w:w="120" w:type="dxa"/>
            </w:tcMar>
            <w:shd w:fill="E8EEF5" w:val="clear"/>
          </w:tcPr>
          <w:p>
            <w:pPr>
              <w:spacing w:before="20" w:after="20" w:line="276" w:lineRule="auto"/>
            </w:pPr>
            <w:r>
              <w:rPr>
                <w:rFonts w:ascii="Calibri" w:hAnsi="Calibri" w:eastAsia="Calibri"/>
                <w:b/>
                <w:color w:val="2E74B5"/>
                <w:sz w:val="17"/>
              </w:rPr>
              <w:t xml:space="preserve">CORE LAW  </w:t>
            </w:r>
            <w:r>
              <w:rPr>
                <w:rFonts w:ascii="Calibri" w:hAnsi="Calibri" w:eastAsia="Calibri"/>
                <w:color w:val="0B2545"/>
                <w:sz w:val="20"/>
              </w:rPr>
              <w:t>Configuration conditions Passage; engagement changes configuration; changed configuration changes later Passage.</w:t>
            </w:r>
          </w:p>
        </w:tc>
      </w:tr>
    </w:tbl>
    <w:p>
      <w:pPr>
        <w:spacing w:after="0"/>
      </w:pPr>
    </w:p>
    <w:p>
      <w:r>
        <w:rPr>
          <w:rFonts w:ascii="Calibri" w:hAnsi="Calibri" w:eastAsia="Calibri"/>
        </w:rPr>
        <w:t>Passage Theory is recursively general as a question about changing possibility, not a theory of everything. It supplies no empirical fact, causal truth, meaning, value, permission, authority, legitimacy, decision, or world effect by itself.</w:t>
      </w:r>
    </w:p>
    <w:p>
      <w:pPr>
        <w:pStyle w:val="Heading2"/>
      </w:pPr>
      <w:r>
        <w:rPr>
          <w:rFonts w:ascii="Calibri" w:hAnsi="Calibri" w:eastAsia="Calibri"/>
        </w:rPr>
        <w:t>Minimal world loop</w:t>
      </w:r>
    </w:p>
    <w:p>
      <w:pPr>
        <w:pStyle w:val="Lead"/>
        <w:jc w:val="center"/>
      </w:pPr>
      <w:r>
        <w:rPr>
          <w:rFonts w:ascii="Calibri" w:hAnsi="Calibri" w:eastAsia="Calibri"/>
          <w:color w:val="0B2545"/>
        </w:rPr>
        <w:t>CONFIGURATION → PASSAGE → ENGAGEMENT → CONSEQUENCE → RESULTING CONFIGURATION → CHANGED PASSAGE FIELD</w:t>
      </w:r>
    </w:p>
    <w:p>
      <w:pPr>
        <w:pStyle w:val="Heading2"/>
      </w:pPr>
      <w:r>
        <w:rPr>
          <w:rFonts w:ascii="Calibri" w:hAnsi="Calibri" w:eastAsia="Calibri"/>
        </w:rPr>
        <w:t>Six readable regions</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450"/>
        <w:gridCol w:w="2150"/>
        <w:gridCol w:w="5760"/>
      </w:tblGrid>
      <w:tr>
        <w:trPr>
          <w:trHeight w:hRule="atLeast"/>
          <w:cantSplit w:val="true"/>
          <w:tblHeader w:val="true"/>
        </w:trPr>
        <w:tc>
          <w:tcPr>
            <w:tcW w:type="dxa" w:w="145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Region</w:t>
            </w:r>
          </w:p>
        </w:tc>
        <w:tc>
          <w:tcPr>
            <w:tcW w:type="dxa" w:w="215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Role</w:t>
            </w:r>
          </w:p>
        </w:tc>
        <w:tc>
          <w:tcPr>
            <w:tcW w:type="dxa" w:w="576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Definition</w:t>
            </w:r>
          </w:p>
        </w:tc>
      </w:tr>
      <w:tr>
        <w:trPr>
          <w:cantSplit w:val="true"/>
        </w:trPr>
        <w:tc>
          <w:tcPr>
            <w:tcW w:type="dxa" w:w="1450"/>
            <w:vAlign w:val="center"/>
          </w:tcPr>
          <w:p>
            <w:pPr>
              <w:pStyle w:val="TableBody"/>
              <w:spacing w:before="0" w:after="0" w:line="252" w:lineRule="auto"/>
              <w:jc w:val="left"/>
            </w:pPr>
            <w:r>
              <w:rPr>
                <w:rFonts w:ascii="Calibri" w:hAnsi="Calibri" w:eastAsia="Calibri"/>
                <w:b w:val="0"/>
                <w:color w:val="111827"/>
                <w:sz w:val="16"/>
              </w:rPr>
              <w:t>Configuration</w:t>
            </w:r>
          </w:p>
        </w:tc>
        <w:tc>
          <w:tcPr>
            <w:tcW w:type="dxa" w:w="2150"/>
            <w:vAlign w:val="center"/>
          </w:tcPr>
          <w:p>
            <w:pPr>
              <w:pStyle w:val="TableBody"/>
              <w:spacing w:before="0" w:after="0" w:line="252" w:lineRule="auto"/>
              <w:jc w:val="left"/>
            </w:pPr>
            <w:r>
              <w:rPr>
                <w:rFonts w:ascii="Calibri" w:hAnsi="Calibri" w:eastAsia="Calibri"/>
                <w:b w:val="0"/>
                <w:color w:val="111827"/>
                <w:sz w:val="16"/>
              </w:rPr>
              <w:t>fundamental dynamic pair</w:t>
            </w:r>
          </w:p>
        </w:tc>
        <w:tc>
          <w:tcPr>
            <w:tcW w:type="dxa" w:w="5760"/>
            <w:vAlign w:val="center"/>
          </w:tcPr>
          <w:p>
            <w:pPr>
              <w:pStyle w:val="TableBody"/>
              <w:spacing w:before="0" w:after="0" w:line="252" w:lineRule="auto"/>
              <w:jc w:val="left"/>
            </w:pPr>
            <w:r>
              <w:rPr>
                <w:rFonts w:ascii="Calibri" w:hAnsi="Calibri" w:eastAsia="Calibri"/>
                <w:b w:val="0"/>
                <w:color w:val="111827"/>
                <w:sz w:val="16"/>
              </w:rPr>
              <w:t>An indexed condition of relevant entities, relations, boundaries, capabilities, constraints, stocks, controls, burdens, residues, and history.</w:t>
            </w:r>
          </w:p>
        </w:tc>
      </w:tr>
      <w:tr>
        <w:trPr>
          <w:cantSplit w:val="true"/>
        </w:trPr>
        <w:tc>
          <w:tcPr>
            <w:tcW w:type="dxa" w:w="1450"/>
            <w:vAlign w:val="center"/>
          </w:tcPr>
          <w:p>
            <w:pPr>
              <w:pStyle w:val="TableBody"/>
              <w:spacing w:before="0" w:after="0" w:line="252" w:lineRule="auto"/>
              <w:jc w:val="left"/>
            </w:pPr>
            <w:r>
              <w:rPr>
                <w:rFonts w:ascii="Calibri" w:hAnsi="Calibri" w:eastAsia="Calibri"/>
                <w:b w:val="0"/>
                <w:color w:val="111827"/>
                <w:sz w:val="16"/>
              </w:rPr>
              <w:t>Passage</w:t>
            </w:r>
          </w:p>
        </w:tc>
        <w:tc>
          <w:tcPr>
            <w:tcW w:type="dxa" w:w="2150"/>
            <w:vAlign w:val="center"/>
          </w:tcPr>
          <w:p>
            <w:pPr>
              <w:pStyle w:val="TableBody"/>
              <w:spacing w:before="0" w:after="0" w:line="252" w:lineRule="auto"/>
              <w:jc w:val="left"/>
            </w:pPr>
            <w:r>
              <w:rPr>
                <w:rFonts w:ascii="Calibri" w:hAnsi="Calibri" w:eastAsia="Calibri"/>
                <w:b w:val="0"/>
                <w:color w:val="111827"/>
                <w:sz w:val="16"/>
              </w:rPr>
              <w:t>fundamental dynamic pair</w:t>
            </w:r>
          </w:p>
        </w:tc>
        <w:tc>
          <w:tcPr>
            <w:tcW w:type="dxa" w:w="5760"/>
            <w:vAlign w:val="center"/>
          </w:tcPr>
          <w:p>
            <w:pPr>
              <w:pStyle w:val="TableBody"/>
              <w:spacing w:before="0" w:after="0" w:line="252" w:lineRule="auto"/>
              <w:jc w:val="left"/>
            </w:pPr>
            <w:r>
              <w:rPr>
                <w:rFonts w:ascii="Calibri" w:hAnsi="Calibri" w:eastAsia="Calibri"/>
                <w:b w:val="0"/>
                <w:color w:val="111827"/>
                <w:sz w:val="16"/>
              </w:rPr>
              <w:t>A typed possible source-to-successor or continuation relation evaluated under a declared model, bearer, target, qualification profile, and horizon.</w:t>
            </w:r>
          </w:p>
        </w:tc>
      </w:tr>
      <w:tr>
        <w:trPr>
          <w:cantSplit w:val="true"/>
        </w:trPr>
        <w:tc>
          <w:tcPr>
            <w:tcW w:type="dxa" w:w="1450"/>
            <w:vAlign w:val="center"/>
          </w:tcPr>
          <w:p>
            <w:pPr>
              <w:pStyle w:val="TableBody"/>
              <w:spacing w:before="0" w:after="0" w:line="252" w:lineRule="auto"/>
              <w:jc w:val="left"/>
            </w:pPr>
            <w:r>
              <w:rPr>
                <w:rFonts w:ascii="Calibri" w:hAnsi="Calibri" w:eastAsia="Calibri"/>
                <w:b w:val="0"/>
                <w:color w:val="111827"/>
                <w:sz w:val="16"/>
              </w:rPr>
              <w:t>Engagement</w:t>
            </w:r>
          </w:p>
        </w:tc>
        <w:tc>
          <w:tcPr>
            <w:tcW w:type="dxa" w:w="2150"/>
            <w:vAlign w:val="center"/>
          </w:tcPr>
          <w:p>
            <w:pPr>
              <w:pStyle w:val="TableBody"/>
              <w:spacing w:before="0" w:after="0" w:line="252" w:lineRule="auto"/>
              <w:jc w:val="left"/>
            </w:pPr>
            <w:r>
              <w:rPr>
                <w:rFonts w:ascii="Calibri" w:hAnsi="Calibri" w:eastAsia="Calibri"/>
                <w:b w:val="0"/>
                <w:color w:val="111827"/>
                <w:sz w:val="16"/>
              </w:rPr>
              <w:t>occurrence trace</w:t>
            </w:r>
          </w:p>
        </w:tc>
        <w:tc>
          <w:tcPr>
            <w:tcW w:type="dxa" w:w="5760"/>
            <w:vAlign w:val="center"/>
          </w:tcPr>
          <w:p>
            <w:pPr>
              <w:pStyle w:val="TableBody"/>
              <w:spacing w:before="0" w:after="0" w:line="252" w:lineRule="auto"/>
              <w:jc w:val="left"/>
            </w:pPr>
            <w:r>
              <w:rPr>
                <w:rFonts w:ascii="Calibri" w:hAnsi="Calibri" w:eastAsia="Calibri"/>
                <w:b w:val="0"/>
                <w:color w:val="111827"/>
                <w:sz w:val="16"/>
              </w:rPr>
              <w:t>An actual attempt to occupy, use, or execute a qualified or presumed Passage. Qualification does not imply engagement.</w:t>
            </w:r>
          </w:p>
        </w:tc>
      </w:tr>
      <w:tr>
        <w:trPr>
          <w:cantSplit w:val="true"/>
        </w:trPr>
        <w:tc>
          <w:tcPr>
            <w:tcW w:type="dxa" w:w="1450"/>
            <w:vAlign w:val="center"/>
          </w:tcPr>
          <w:p>
            <w:pPr>
              <w:pStyle w:val="TableBody"/>
              <w:spacing w:before="0" w:after="0" w:line="252" w:lineRule="auto"/>
              <w:jc w:val="left"/>
            </w:pPr>
            <w:r>
              <w:rPr>
                <w:rFonts w:ascii="Calibri" w:hAnsi="Calibri" w:eastAsia="Calibri"/>
                <w:b w:val="0"/>
                <w:color w:val="111827"/>
                <w:sz w:val="16"/>
              </w:rPr>
              <w:t>Consequence</w:t>
            </w:r>
          </w:p>
        </w:tc>
        <w:tc>
          <w:tcPr>
            <w:tcW w:type="dxa" w:w="2150"/>
            <w:vAlign w:val="center"/>
          </w:tcPr>
          <w:p>
            <w:pPr>
              <w:pStyle w:val="TableBody"/>
              <w:spacing w:before="0" w:after="0" w:line="252" w:lineRule="auto"/>
              <w:jc w:val="left"/>
            </w:pPr>
            <w:r>
              <w:rPr>
                <w:rFonts w:ascii="Calibri" w:hAnsi="Calibri" w:eastAsia="Calibri"/>
                <w:b w:val="0"/>
                <w:color w:val="111827"/>
                <w:sz w:val="16"/>
              </w:rPr>
              <w:t>occurrence trace</w:t>
            </w:r>
          </w:p>
        </w:tc>
        <w:tc>
          <w:tcPr>
            <w:tcW w:type="dxa" w:w="5760"/>
            <w:vAlign w:val="center"/>
          </w:tcPr>
          <w:p>
            <w:pPr>
              <w:pStyle w:val="TableBody"/>
              <w:spacing w:before="0" w:after="0" w:line="252" w:lineRule="auto"/>
              <w:jc w:val="left"/>
            </w:pPr>
            <w:r>
              <w:rPr>
                <w:rFonts w:ascii="Calibri" w:hAnsi="Calibri" w:eastAsia="Calibri"/>
                <w:b w:val="0"/>
                <w:color w:val="111827"/>
                <w:sz w:val="16"/>
              </w:rPr>
              <w:t>Supported effects of engagement or occurrence, including successor configuration, distribution, burden, residue, branch effects, and changes to later Passage.</w:t>
            </w:r>
          </w:p>
        </w:tc>
      </w:tr>
      <w:tr>
        <w:trPr>
          <w:cantSplit w:val="true"/>
        </w:trPr>
        <w:tc>
          <w:tcPr>
            <w:tcW w:type="dxa" w:w="1450"/>
            <w:vAlign w:val="center"/>
          </w:tcPr>
          <w:p>
            <w:pPr>
              <w:pStyle w:val="TableBody"/>
              <w:spacing w:before="0" w:after="0" w:line="252" w:lineRule="auto"/>
              <w:jc w:val="left"/>
            </w:pPr>
            <w:r>
              <w:rPr>
                <w:rFonts w:ascii="Calibri" w:hAnsi="Calibri" w:eastAsia="Calibri"/>
                <w:b w:val="0"/>
                <w:color w:val="111827"/>
                <w:sz w:val="16"/>
              </w:rPr>
              <w:t>Formation</w:t>
            </w:r>
          </w:p>
        </w:tc>
        <w:tc>
          <w:tcPr>
            <w:tcW w:type="dxa" w:w="2150"/>
            <w:vAlign w:val="center"/>
          </w:tcPr>
          <w:p>
            <w:pPr>
              <w:pStyle w:val="TableBody"/>
              <w:spacing w:before="0" w:after="0" w:line="252" w:lineRule="auto"/>
              <w:jc w:val="left"/>
            </w:pPr>
            <w:r>
              <w:rPr>
                <w:rFonts w:ascii="Calibri" w:hAnsi="Calibri" w:eastAsia="Calibri"/>
                <w:b w:val="0"/>
                <w:color w:val="111827"/>
                <w:sz w:val="16"/>
              </w:rPr>
              <w:t>successor generative branch</w:t>
            </w:r>
          </w:p>
        </w:tc>
        <w:tc>
          <w:tcPr>
            <w:tcW w:type="dxa" w:w="5760"/>
            <w:vAlign w:val="center"/>
          </w:tcPr>
          <w:p>
            <w:pPr>
              <w:pStyle w:val="TableBody"/>
              <w:spacing w:before="0" w:after="0" w:line="252" w:lineRule="auto"/>
              <w:jc w:val="left"/>
            </w:pPr>
            <w:r>
              <w:rPr>
                <w:rFonts w:ascii="Calibri" w:hAnsi="Calibri" w:eastAsia="Calibri"/>
                <w:b w:val="0"/>
                <w:color w:val="111827"/>
                <w:sz w:val="16"/>
              </w:rPr>
              <w:t>Maintenance, stabilization, repair, recovery, replacement, diversification, integration, or creation directed toward later usable Passage.</w:t>
            </w:r>
          </w:p>
        </w:tc>
      </w:tr>
      <w:tr>
        <w:trPr>
          <w:cantSplit w:val="true"/>
        </w:trPr>
        <w:tc>
          <w:tcPr>
            <w:tcW w:type="dxa" w:w="1450"/>
            <w:vAlign w:val="center"/>
          </w:tcPr>
          <w:p>
            <w:pPr>
              <w:pStyle w:val="TableBody"/>
              <w:spacing w:before="0" w:after="0" w:line="252" w:lineRule="auto"/>
              <w:jc w:val="left"/>
            </w:pPr>
            <w:r>
              <w:rPr>
                <w:rFonts w:ascii="Calibri" w:hAnsi="Calibri" w:eastAsia="Calibri"/>
                <w:b w:val="0"/>
                <w:color w:val="111827"/>
                <w:sz w:val="16"/>
              </w:rPr>
              <w:t>Judgment</w:t>
            </w:r>
          </w:p>
        </w:tc>
        <w:tc>
          <w:tcPr>
            <w:tcW w:type="dxa" w:w="2150"/>
            <w:vAlign w:val="center"/>
          </w:tcPr>
          <w:p>
            <w:pPr>
              <w:pStyle w:val="TableBody"/>
              <w:spacing w:before="0" w:after="0" w:line="252" w:lineRule="auto"/>
              <w:jc w:val="left"/>
            </w:pPr>
            <w:r>
              <w:rPr>
                <w:rFonts w:ascii="Calibri" w:hAnsi="Calibri" w:eastAsia="Calibri"/>
                <w:b w:val="0"/>
                <w:color w:val="111827"/>
                <w:sz w:val="16"/>
              </w:rPr>
              <w:t>orthogonal epistemic governor</w:t>
            </w:r>
          </w:p>
        </w:tc>
        <w:tc>
          <w:tcPr>
            <w:tcW w:type="dxa" w:w="5760"/>
            <w:vAlign w:val="center"/>
          </w:tcPr>
          <w:p>
            <w:pPr>
              <w:pStyle w:val="TableBody"/>
              <w:spacing w:before="0" w:after="0" w:line="252" w:lineRule="auto"/>
              <w:jc w:val="left"/>
            </w:pPr>
            <w:r>
              <w:rPr>
                <w:rFonts w:ascii="Calibri" w:hAnsi="Calibri" w:eastAsia="Calibri"/>
                <w:b w:val="0"/>
                <w:color w:val="111827"/>
                <w:sz w:val="16"/>
              </w:rPr>
              <w:t>A Basis-indexed conclusion under a declared rule and verifier. It is not automatically choice, permission, action, Standing, or objective truth.</w:t>
            </w:r>
          </w:p>
        </w:tc>
      </w:tr>
    </w:tbl>
    <w:p>
      <w:pPr>
        <w:spacing w:after="0"/>
      </w:pPr>
    </w:p>
    <w:tbl>
      <w:tblPr>
        <w:tblW w:type="dxa" w:w="9360"/>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trHeight w:hRule="atLeast"/>
          <w:cantSplit w:val="true"/>
          <w:tblHeader w:val="true"/>
        </w:trPr>
        <w:tc>
          <w:tcPr>
            <w:tcW w:type="dxa" w:w="9360"/>
            <w:tcMar>
              <w:top w:w="80" w:type="dxa"/>
              <w:start w:w="120" w:type="dxa"/>
              <w:bottom w:w="80" w:type="dxa"/>
              <w:end w:w="120" w:type="dxa"/>
            </w:tcMar>
            <w:shd w:fill="F4F6F9" w:val="clear"/>
          </w:tcPr>
          <w:p>
            <w:pPr>
              <w:spacing w:before="20" w:after="20" w:line="276" w:lineRule="auto"/>
            </w:pPr>
            <w:r>
              <w:rPr>
                <w:rFonts w:ascii="Calibri" w:hAnsi="Calibri" w:eastAsia="Calibri"/>
                <w:b/>
                <w:color w:val="2E74B5"/>
                <w:sz w:val="17"/>
              </w:rPr>
              <w:t xml:space="preserve">ONTIC CENTER  </w:t>
            </w:r>
            <w:r>
              <w:rPr>
                <w:rFonts w:ascii="Calibri" w:hAnsi="Calibri" w:eastAsia="Calibri"/>
                <w:color w:val="0B2545"/>
                <w:sz w:val="20"/>
              </w:rPr>
              <w:t>Configuration and Passage are the fundamental dynamic pair. Engagement and Consequence trace what happens. Formation concerns later usable Passage. Judgment governs what may be claimed.</w:t>
            </w:r>
          </w:p>
        </w:tc>
      </w:tr>
    </w:tbl>
    <w:p>
      <w:pPr>
        <w:spacing w:after="0"/>
      </w:pPr>
    </w:p>
    <w:p>
      <w:pPr>
        <w:pStyle w:val="Heading2"/>
      </w:pPr>
      <w:r>
        <w:rPr>
          <w:rFonts w:ascii="Calibri" w:hAnsi="Calibri" w:eastAsia="Calibri"/>
        </w:rPr>
        <w:t>Indices that prevent empty abstraction</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500"/>
        <w:gridCol w:w="7860"/>
      </w:tblGrid>
      <w:tr>
        <w:trPr>
          <w:trHeight w:hRule="atLeast"/>
          <w:cantSplit w:val="true"/>
          <w:tblHeader w:val="true"/>
        </w:trPr>
        <w:tc>
          <w:tcPr>
            <w:tcW w:type="dxa" w:w="150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Index</w:t>
            </w:r>
          </w:p>
        </w:tc>
        <w:tc>
          <w:tcPr>
            <w:tcW w:type="dxa" w:w="7860"/>
            <w:tcMar>
              <w:top w:w="80" w:type="dxa"/>
              <w:start w:w="120" w:type="dxa"/>
              <w:bottom w:w="80" w:type="dxa"/>
              <w:end w:w="120" w:type="dxa"/>
            </w:tcMar>
            <w:shd w:fill="E8EEF5" w:val="clear"/>
            <w:vAlign w:val="center"/>
          </w:tcPr>
          <w:p>
            <w:pPr>
              <w:pStyle w:val="TableBody"/>
              <w:spacing w:before="0" w:after="0" w:line="252" w:lineRule="auto"/>
              <w:jc w:val="left"/>
            </w:pPr>
            <w:r>
              <w:rPr>
                <w:rFonts w:ascii="Calibri" w:hAnsi="Calibri" w:eastAsia="Calibri"/>
                <w:b/>
                <w:color w:val="0B2545"/>
                <w:sz w:val="16"/>
              </w:rPr>
              <w:t>Question it fixes</w:t>
            </w:r>
          </w:p>
        </w:tc>
      </w:tr>
      <w:tr>
        <w:trPr>
          <w:cantSplit w:val="true"/>
        </w:trPr>
        <w:tc>
          <w:tcPr>
            <w:tcW w:type="dxa" w:w="1500"/>
            <w:vAlign w:val="center"/>
          </w:tcPr>
          <w:p>
            <w:pPr>
              <w:pStyle w:val="TableBody"/>
              <w:spacing w:before="0" w:after="0" w:line="252" w:lineRule="auto"/>
              <w:jc w:val="left"/>
            </w:pPr>
            <w:r>
              <w:rPr>
                <w:rFonts w:ascii="Calibri" w:hAnsi="Calibri" w:eastAsia="Calibri"/>
                <w:b w:val="0"/>
                <w:color w:val="111827"/>
                <w:sz w:val="16"/>
              </w:rPr>
              <w:t>Regard</w:t>
            </w:r>
          </w:p>
        </w:tc>
        <w:tc>
          <w:tcPr>
            <w:tcW w:type="dxa" w:w="7860"/>
            <w:vAlign w:val="center"/>
          </w:tcPr>
          <w:p>
            <w:pPr>
              <w:pStyle w:val="TableBody"/>
              <w:spacing w:before="0" w:after="0" w:line="252" w:lineRule="auto"/>
              <w:jc w:val="left"/>
            </w:pPr>
            <w:r>
              <w:rPr>
                <w:rFonts w:ascii="Calibri" w:hAnsi="Calibri" w:eastAsia="Calibri"/>
                <w:b w:val="0"/>
                <w:color w:val="111827"/>
                <w:sz w:val="16"/>
              </w:rPr>
              <w:t>The evaluative index that makes a consequence useful, costly, preferred, protected, or unacceptable.</w:t>
            </w:r>
          </w:p>
        </w:tc>
      </w:tr>
      <w:tr>
        <w:trPr>
          <w:cantSplit w:val="true"/>
        </w:trPr>
        <w:tc>
          <w:tcPr>
            <w:tcW w:type="dxa" w:w="1500"/>
            <w:vAlign w:val="center"/>
          </w:tcPr>
          <w:p>
            <w:pPr>
              <w:pStyle w:val="TableBody"/>
              <w:spacing w:before="0" w:after="0" w:line="252" w:lineRule="auto"/>
              <w:jc w:val="left"/>
            </w:pPr>
            <w:r>
              <w:rPr>
                <w:rFonts w:ascii="Calibri" w:hAnsi="Calibri" w:eastAsia="Calibri"/>
                <w:b w:val="0"/>
                <w:color w:val="111827"/>
                <w:sz w:val="16"/>
              </w:rPr>
              <w:t>Demand</w:t>
            </w:r>
          </w:p>
        </w:tc>
        <w:tc>
          <w:tcPr>
            <w:tcW w:type="dxa" w:w="7860"/>
            <w:vAlign w:val="center"/>
          </w:tcPr>
          <w:p>
            <w:pPr>
              <w:pStyle w:val="TableBody"/>
              <w:spacing w:before="0" w:after="0" w:line="252" w:lineRule="auto"/>
              <w:jc w:val="left"/>
            </w:pPr>
            <w:r>
              <w:rPr>
                <w:rFonts w:ascii="Calibri" w:hAnsi="Calibri" w:eastAsia="Calibri"/>
                <w:b w:val="0"/>
                <w:color w:val="111827"/>
                <w:sz w:val="16"/>
              </w:rPr>
              <w:t>The requested Return, intended use, criteria, protected conditions, and required standing.</w:t>
            </w:r>
          </w:p>
        </w:tc>
      </w:tr>
      <w:tr>
        <w:trPr>
          <w:cantSplit w:val="true"/>
        </w:trPr>
        <w:tc>
          <w:tcPr>
            <w:tcW w:type="dxa" w:w="1500"/>
            <w:vAlign w:val="center"/>
          </w:tcPr>
          <w:p>
            <w:pPr>
              <w:pStyle w:val="TableBody"/>
              <w:spacing w:before="0" w:after="0" w:line="252" w:lineRule="auto"/>
              <w:jc w:val="left"/>
            </w:pPr>
            <w:r>
              <w:rPr>
                <w:rFonts w:ascii="Calibri" w:hAnsi="Calibri" w:eastAsia="Calibri"/>
                <w:b w:val="0"/>
                <w:color w:val="111827"/>
                <w:sz w:val="16"/>
              </w:rPr>
              <w:t>Basis</w:t>
            </w:r>
          </w:p>
        </w:tc>
        <w:tc>
          <w:tcPr>
            <w:tcW w:type="dxa" w:w="7860"/>
            <w:vAlign w:val="center"/>
          </w:tcPr>
          <w:p>
            <w:pPr>
              <w:pStyle w:val="TableBody"/>
              <w:spacing w:before="0" w:after="0" w:line="252" w:lineRule="auto"/>
              <w:jc w:val="left"/>
            </w:pPr>
            <w:r>
              <w:rPr>
                <w:rFonts w:ascii="Calibri" w:hAnsi="Calibri" w:eastAsia="Calibri"/>
                <w:b w:val="0"/>
                <w:color w:val="111827"/>
                <w:sz w:val="16"/>
              </w:rPr>
              <w:t>The evidence, rules, assumptions, versions, dependencies, and uncertainty that limit what may be claimed.</w:t>
            </w:r>
          </w:p>
        </w:tc>
      </w:tr>
      <w:tr>
        <w:trPr>
          <w:cantSplit w:val="true"/>
        </w:trPr>
        <w:tc>
          <w:tcPr>
            <w:tcW w:type="dxa" w:w="1500"/>
            <w:vAlign w:val="center"/>
          </w:tcPr>
          <w:p>
            <w:pPr>
              <w:pStyle w:val="TableBody"/>
              <w:spacing w:before="0" w:after="0" w:line="252" w:lineRule="auto"/>
              <w:jc w:val="left"/>
            </w:pPr>
            <w:r>
              <w:rPr>
                <w:rFonts w:ascii="Calibri" w:hAnsi="Calibri" w:eastAsia="Calibri"/>
                <w:b w:val="0"/>
                <w:color w:val="111827"/>
                <w:sz w:val="16"/>
              </w:rPr>
              <w:t>Bearer</w:t>
            </w:r>
          </w:p>
        </w:tc>
        <w:tc>
          <w:tcPr>
            <w:tcW w:type="dxa" w:w="7860"/>
            <w:vAlign w:val="center"/>
          </w:tcPr>
          <w:p>
            <w:pPr>
              <w:pStyle w:val="TableBody"/>
              <w:spacing w:before="0" w:after="0" w:line="252" w:lineRule="auto"/>
              <w:jc w:val="left"/>
            </w:pPr>
            <w:r>
              <w:rPr>
                <w:rFonts w:ascii="Calibri" w:hAnsi="Calibri" w:eastAsia="Calibri"/>
                <w:b w:val="0"/>
                <w:color w:val="111827"/>
                <w:sz w:val="16"/>
              </w:rPr>
              <w:t>The entity for which a Passage is evaluated or engaged.</w:t>
            </w:r>
          </w:p>
        </w:tc>
      </w:tr>
      <w:tr>
        <w:trPr>
          <w:cantSplit w:val="true"/>
        </w:trPr>
        <w:tc>
          <w:tcPr>
            <w:tcW w:type="dxa" w:w="1500"/>
            <w:vAlign w:val="center"/>
          </w:tcPr>
          <w:p>
            <w:pPr>
              <w:pStyle w:val="TableBody"/>
              <w:spacing w:before="0" w:after="0" w:line="252" w:lineRule="auto"/>
              <w:jc w:val="left"/>
            </w:pPr>
            <w:r>
              <w:rPr>
                <w:rFonts w:ascii="Calibri" w:hAnsi="Calibri" w:eastAsia="Calibri"/>
                <w:b w:val="0"/>
                <w:color w:val="111827"/>
                <w:sz w:val="16"/>
              </w:rPr>
              <w:t>Target</w:t>
            </w:r>
          </w:p>
        </w:tc>
        <w:tc>
          <w:tcPr>
            <w:tcW w:type="dxa" w:w="7860"/>
            <w:vAlign w:val="center"/>
          </w:tcPr>
          <w:p>
            <w:pPr>
              <w:pStyle w:val="TableBody"/>
              <w:spacing w:before="0" w:after="0" w:line="252" w:lineRule="auto"/>
              <w:jc w:val="left"/>
            </w:pPr>
            <w:r>
              <w:rPr>
                <w:rFonts w:ascii="Calibri" w:hAnsi="Calibri" w:eastAsia="Calibri"/>
                <w:b w:val="0"/>
                <w:color w:val="111827"/>
                <w:sz w:val="16"/>
              </w:rPr>
              <w:t>The successor, continuation, object, or effect toward which Passage is evaluated.</w:t>
            </w:r>
          </w:p>
        </w:tc>
      </w:tr>
      <w:tr>
        <w:trPr>
          <w:cantSplit w:val="true"/>
        </w:trPr>
        <w:tc>
          <w:tcPr>
            <w:tcW w:type="dxa" w:w="1500"/>
            <w:vAlign w:val="center"/>
          </w:tcPr>
          <w:p>
            <w:pPr>
              <w:pStyle w:val="TableBody"/>
              <w:spacing w:before="0" w:after="0" w:line="252" w:lineRule="auto"/>
              <w:jc w:val="left"/>
            </w:pPr>
            <w:r>
              <w:rPr>
                <w:rFonts w:ascii="Calibri" w:hAnsi="Calibri" w:eastAsia="Calibri"/>
                <w:b w:val="0"/>
                <w:color w:val="111827"/>
                <w:sz w:val="16"/>
              </w:rPr>
              <w:t>Horizon</w:t>
            </w:r>
          </w:p>
        </w:tc>
        <w:tc>
          <w:tcPr>
            <w:tcW w:type="dxa" w:w="7860"/>
            <w:vAlign w:val="center"/>
          </w:tcPr>
          <w:p>
            <w:pPr>
              <w:pStyle w:val="TableBody"/>
              <w:spacing w:before="0" w:after="0" w:line="252" w:lineRule="auto"/>
              <w:jc w:val="left"/>
            </w:pPr>
            <w:r>
              <w:rPr>
                <w:rFonts w:ascii="Calibri" w:hAnsi="Calibri" w:eastAsia="Calibri"/>
                <w:b w:val="0"/>
                <w:color w:val="111827"/>
                <w:sz w:val="16"/>
              </w:rPr>
              <w:t>The time or succession boundary within which consequences and later Passage count.</w:t>
            </w:r>
          </w:p>
        </w:tc>
      </w:tr>
    </w:tbl>
    <w:p>
      <w:pPr>
        <w:spacing w:after="0"/>
      </w:pPr>
    </w:p>
    <w:p>
      <w:pPr>
        <w:pStyle w:val="Heading2"/>
      </w:pPr>
      <w:r>
        <w:rPr>
          <w:rFonts w:ascii="Calibri" w:hAnsi="Calibri" w:eastAsia="Calibri"/>
        </w:rPr>
        <w:t>Formal kernel</w:t>
      </w:r>
    </w:p>
    <w:p>
      <w:pPr>
        <w:pStyle w:val="ListBullet"/>
      </w:pPr>
      <w:r>
        <w:rPr>
          <w:rFonts w:ascii="Calibri" w:hAnsi="Calibri" w:eastAsia="Calibri"/>
        </w:rPr>
        <w:t>Phi[M,I](x) = {p | p satisfies the mandatory qualification profile under M, I, and x}</w:t>
      </w:r>
    </w:p>
    <w:p>
      <w:pPr>
        <w:pStyle w:val="ListBullet"/>
      </w:pPr>
      <w:r>
        <w:rPr>
          <w:rFonts w:ascii="Calibri" w:hAnsi="Calibri" w:eastAsia="Calibri"/>
        </w:rPr>
        <w:t>C[M](x, engagement, passage, occurrence) -&gt; {(x_prime, effects)}</w:t>
      </w:r>
    </w:p>
    <w:p>
      <w:pPr>
        <w:pStyle w:val="ListBullet"/>
      </w:pPr>
      <w:r>
        <w:rPr>
          <w:rFonts w:ascii="Calibri" w:hAnsi="Calibri" w:eastAsia="Calibri"/>
        </w:rPr>
        <w:t>x_prime -&gt; Phi[M,I_prime](x_prime)</w:t>
      </w:r>
    </w:p>
    <w:p>
      <w:pPr>
        <w:pStyle w:val="ListBullet"/>
      </w:pPr>
      <w:r>
        <w:rPr>
          <w:rFonts w:ascii="Calibri" w:hAnsi="Calibri" w:eastAsia="Calibri"/>
        </w:rPr>
        <w:t>Opened, Closed, Preserved, and Redirected Passage require an explicit identity or correspondence relation K across configurations. Without K, return INCOMPARABLE or OPEN.</w:t>
      </w:r>
    </w:p>
    <w:p>
      <w:pPr>
        <w:pStyle w:val="ListBullet"/>
      </w:pPr>
      <w:r>
        <w:rPr>
          <w:rFonts w:ascii="Calibri" w:hAnsi="Calibri" w:eastAsia="Calibri"/>
        </w:rPr>
        <w:t>Formation capacity uses Ψ. Do not force Passage, consequence, or formation capacity into one scalar unless the Demand supplies a warranted commensuration rule.</w:t>
      </w:r>
    </w:p>
    <w:p>
      <w:pPr>
        <w:pStyle w:val="Definition"/>
      </w:pPr>
      <w:r>
        <w:rPr>
          <w:rFonts w:ascii="Calibri" w:hAnsi="Calibri" w:eastAsia="Calibri"/>
        </w:rPr>
        <w:t>Opened = Φ(x′) − Φ(x); Closed = Φ(x) − Φ(x′); Preserved = Φ(x′) ∩ Φ(x). These expressions require an explicit comparison relation K. The 0.1 reference executes complete PASSAGE_IDENTITY only; explicit correspondence remains OPEN.</w:t>
      </w:r>
    </w:p>
    <w:p>
      <w:pPr>
        <w:pStyle w:val="Heading2"/>
      </w:pPr>
      <w:r>
        <w:rPr>
          <w:rFonts w:ascii="Calibri" w:hAnsi="Calibri" w:eastAsia="Calibri"/>
        </w:rPr>
        <w:t>Passage laws</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900"/>
        <w:gridCol w:w="2300"/>
        <w:gridCol w:w="6160"/>
      </w:tblGrid>
      <w:tr>
        <w:trPr>
          <w:trHeight w:hRule="atLeast"/>
          <w:cantSplit w:val="true"/>
          <w:tblHeader w:val="true"/>
        </w:trPr>
        <w:tc>
          <w:tcPr>
            <w:tcW w:type="dxa" w:w="90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ID</w:t>
            </w:r>
          </w:p>
        </w:tc>
        <w:tc>
          <w:tcPr>
            <w:tcW w:type="dxa" w:w="230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Law</w:t>
            </w:r>
          </w:p>
        </w:tc>
        <w:tc>
          <w:tcPr>
            <w:tcW w:type="dxa" w:w="616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Rule</w:t>
            </w:r>
          </w:p>
        </w:tc>
      </w:tr>
      <w:tr>
        <w:trPr>
          <w:cantSplit w:val="true"/>
        </w:trPr>
        <w:tc>
          <w:tcPr>
            <w:tcW w:type="dxa" w:w="900"/>
            <w:vAlign w:val="center"/>
          </w:tcPr>
          <w:p>
            <w:pPr>
              <w:pStyle w:val="TableBody"/>
              <w:spacing w:before="0" w:after="0" w:line="252" w:lineRule="auto"/>
              <w:jc w:val="left"/>
            </w:pPr>
            <w:r>
              <w:rPr>
                <w:rFonts w:ascii="Calibri" w:hAnsi="Calibri" w:eastAsia="Calibri"/>
                <w:b w:val="0"/>
                <w:color w:val="111827"/>
                <w:sz w:val="16"/>
              </w:rPr>
              <w:t>PT-L01</w:t>
            </w:r>
          </w:p>
        </w:tc>
        <w:tc>
          <w:tcPr>
            <w:tcW w:type="dxa" w:w="2300"/>
            <w:vAlign w:val="center"/>
          </w:tcPr>
          <w:p>
            <w:pPr>
              <w:pStyle w:val="TableBody"/>
              <w:spacing w:before="0" w:after="0" w:line="252" w:lineRule="auto"/>
              <w:jc w:val="left"/>
            </w:pPr>
            <w:r>
              <w:rPr>
                <w:rFonts w:ascii="Calibri" w:hAnsi="Calibri" w:eastAsia="Calibri"/>
                <w:b w:val="0"/>
                <w:color w:val="111827"/>
                <w:sz w:val="16"/>
              </w:rPr>
              <w:t>Configured possibility</w:t>
            </w:r>
          </w:p>
        </w:tc>
        <w:tc>
          <w:tcPr>
            <w:tcW w:type="dxa" w:w="6160"/>
            <w:vAlign w:val="center"/>
          </w:tcPr>
          <w:p>
            <w:pPr>
              <w:pStyle w:val="TableBody"/>
              <w:spacing w:before="0" w:after="0" w:line="252" w:lineRule="auto"/>
              <w:jc w:val="left"/>
            </w:pPr>
            <w:r>
              <w:rPr>
                <w:rFonts w:ascii="Calibri" w:hAnsi="Calibri" w:eastAsia="Calibri"/>
                <w:b w:val="0"/>
                <w:color w:val="111827"/>
                <w:sz w:val="16"/>
              </w:rPr>
              <w:t>Passage qualification depends on configuration and declared indices.</w:t>
            </w:r>
          </w:p>
        </w:tc>
      </w:tr>
      <w:tr>
        <w:trPr>
          <w:cantSplit w:val="true"/>
        </w:trPr>
        <w:tc>
          <w:tcPr>
            <w:tcW w:type="dxa" w:w="900"/>
            <w:vAlign w:val="center"/>
          </w:tcPr>
          <w:p>
            <w:pPr>
              <w:pStyle w:val="TableBody"/>
              <w:spacing w:before="0" w:after="0" w:line="252" w:lineRule="auto"/>
              <w:jc w:val="left"/>
            </w:pPr>
            <w:r>
              <w:rPr>
                <w:rFonts w:ascii="Calibri" w:hAnsi="Calibri" w:eastAsia="Calibri"/>
                <w:b w:val="0"/>
                <w:color w:val="111827"/>
                <w:sz w:val="16"/>
              </w:rPr>
              <w:t>PT-L02</w:t>
            </w:r>
          </w:p>
        </w:tc>
        <w:tc>
          <w:tcPr>
            <w:tcW w:type="dxa" w:w="2300"/>
            <w:vAlign w:val="center"/>
          </w:tcPr>
          <w:p>
            <w:pPr>
              <w:pStyle w:val="TableBody"/>
              <w:spacing w:before="0" w:after="0" w:line="252" w:lineRule="auto"/>
              <w:jc w:val="left"/>
            </w:pPr>
            <w:r>
              <w:rPr>
                <w:rFonts w:ascii="Calibri" w:hAnsi="Calibri" w:eastAsia="Calibri"/>
                <w:b w:val="0"/>
                <w:color w:val="111827"/>
                <w:sz w:val="16"/>
              </w:rPr>
              <w:t>Qualification is not actualization</w:t>
            </w:r>
          </w:p>
        </w:tc>
        <w:tc>
          <w:tcPr>
            <w:tcW w:type="dxa" w:w="6160"/>
            <w:vAlign w:val="center"/>
          </w:tcPr>
          <w:p>
            <w:pPr>
              <w:pStyle w:val="TableBody"/>
              <w:spacing w:before="0" w:after="0" w:line="252" w:lineRule="auto"/>
              <w:jc w:val="left"/>
            </w:pPr>
            <w:r>
              <w:rPr>
                <w:rFonts w:ascii="Calibri" w:hAnsi="Calibri" w:eastAsia="Calibri"/>
                <w:b w:val="0"/>
                <w:color w:val="111827"/>
                <w:sz w:val="16"/>
              </w:rPr>
              <w:t>Candidate, qualified, engaged, occurred, and consequential remain separate.</w:t>
            </w:r>
          </w:p>
        </w:tc>
      </w:tr>
      <w:tr>
        <w:trPr>
          <w:cantSplit w:val="true"/>
        </w:trPr>
        <w:tc>
          <w:tcPr>
            <w:tcW w:type="dxa" w:w="900"/>
            <w:vAlign w:val="center"/>
          </w:tcPr>
          <w:p>
            <w:pPr>
              <w:pStyle w:val="TableBody"/>
              <w:spacing w:before="0" w:after="0" w:line="252" w:lineRule="auto"/>
              <w:jc w:val="left"/>
            </w:pPr>
            <w:r>
              <w:rPr>
                <w:rFonts w:ascii="Calibri" w:hAnsi="Calibri" w:eastAsia="Calibri"/>
                <w:b w:val="0"/>
                <w:color w:val="111827"/>
                <w:sz w:val="16"/>
              </w:rPr>
              <w:t>PT-L03</w:t>
            </w:r>
          </w:p>
        </w:tc>
        <w:tc>
          <w:tcPr>
            <w:tcW w:type="dxa" w:w="2300"/>
            <w:vAlign w:val="center"/>
          </w:tcPr>
          <w:p>
            <w:pPr>
              <w:pStyle w:val="TableBody"/>
              <w:spacing w:before="0" w:after="0" w:line="252" w:lineRule="auto"/>
              <w:jc w:val="left"/>
            </w:pPr>
            <w:r>
              <w:rPr>
                <w:rFonts w:ascii="Calibri" w:hAnsi="Calibri" w:eastAsia="Calibri"/>
                <w:b w:val="0"/>
                <w:color w:val="111827"/>
                <w:sz w:val="16"/>
              </w:rPr>
              <w:t>Failed engagement still changes</w:t>
            </w:r>
          </w:p>
        </w:tc>
        <w:tc>
          <w:tcPr>
            <w:tcW w:type="dxa" w:w="6160"/>
            <w:vAlign w:val="center"/>
          </w:tcPr>
          <w:p>
            <w:pPr>
              <w:pStyle w:val="TableBody"/>
              <w:spacing w:before="0" w:after="0" w:line="252" w:lineRule="auto"/>
              <w:jc w:val="left"/>
            </w:pPr>
            <w:r>
              <w:rPr>
                <w:rFonts w:ascii="Calibri" w:hAnsi="Calibri" w:eastAsia="Calibri"/>
                <w:b w:val="0"/>
                <w:color w:val="111827"/>
                <w:sz w:val="16"/>
              </w:rPr>
              <w:t>An unsuccessful attempt may consume stock, add knowledge, create damage, or alter later Passage.</w:t>
            </w:r>
          </w:p>
        </w:tc>
      </w:tr>
      <w:tr>
        <w:trPr>
          <w:cantSplit w:val="true"/>
        </w:trPr>
        <w:tc>
          <w:tcPr>
            <w:tcW w:type="dxa" w:w="900"/>
            <w:vAlign w:val="center"/>
          </w:tcPr>
          <w:p>
            <w:pPr>
              <w:pStyle w:val="TableBody"/>
              <w:spacing w:before="0" w:after="0" w:line="252" w:lineRule="auto"/>
              <w:jc w:val="left"/>
            </w:pPr>
            <w:r>
              <w:rPr>
                <w:rFonts w:ascii="Calibri" w:hAnsi="Calibri" w:eastAsia="Calibri"/>
                <w:b w:val="0"/>
                <w:color w:val="111827"/>
                <w:sz w:val="16"/>
              </w:rPr>
              <w:t>PT-L04</w:t>
            </w:r>
          </w:p>
        </w:tc>
        <w:tc>
          <w:tcPr>
            <w:tcW w:type="dxa" w:w="2300"/>
            <w:vAlign w:val="center"/>
          </w:tcPr>
          <w:p>
            <w:pPr>
              <w:pStyle w:val="TableBody"/>
              <w:spacing w:before="0" w:after="0" w:line="252" w:lineRule="auto"/>
              <w:jc w:val="left"/>
            </w:pPr>
            <w:r>
              <w:rPr>
                <w:rFonts w:ascii="Calibri" w:hAnsi="Calibri" w:eastAsia="Calibri"/>
                <w:b w:val="0"/>
                <w:color w:val="111827"/>
                <w:sz w:val="16"/>
              </w:rPr>
              <w:t>Recursive succession</w:t>
            </w:r>
          </w:p>
        </w:tc>
        <w:tc>
          <w:tcPr>
            <w:tcW w:type="dxa" w:w="6160"/>
            <w:vAlign w:val="center"/>
          </w:tcPr>
          <w:p>
            <w:pPr>
              <w:pStyle w:val="TableBody"/>
              <w:spacing w:before="0" w:after="0" w:line="252" w:lineRule="auto"/>
              <w:jc w:val="left"/>
            </w:pPr>
            <w:r>
              <w:rPr>
                <w:rFonts w:ascii="Calibri" w:hAnsi="Calibri" w:eastAsia="Calibri"/>
                <w:b w:val="0"/>
                <w:color w:val="111827"/>
                <w:sz w:val="16"/>
              </w:rPr>
              <w:t>Every supported successor configuration changes the field from which later Passage is evaluated.</w:t>
            </w:r>
          </w:p>
        </w:tc>
      </w:tr>
      <w:tr>
        <w:trPr>
          <w:cantSplit w:val="true"/>
        </w:trPr>
        <w:tc>
          <w:tcPr>
            <w:tcW w:type="dxa" w:w="900"/>
            <w:vAlign w:val="center"/>
          </w:tcPr>
          <w:p>
            <w:pPr>
              <w:pStyle w:val="TableBody"/>
              <w:spacing w:before="0" w:after="0" w:line="252" w:lineRule="auto"/>
              <w:jc w:val="left"/>
            </w:pPr>
            <w:r>
              <w:rPr>
                <w:rFonts w:ascii="Calibri" w:hAnsi="Calibri" w:eastAsia="Calibri"/>
                <w:b w:val="0"/>
                <w:color w:val="111827"/>
                <w:sz w:val="16"/>
              </w:rPr>
              <w:t>PT-L05</w:t>
            </w:r>
          </w:p>
        </w:tc>
        <w:tc>
          <w:tcPr>
            <w:tcW w:type="dxa" w:w="2300"/>
            <w:vAlign w:val="center"/>
          </w:tcPr>
          <w:p>
            <w:pPr>
              <w:pStyle w:val="TableBody"/>
              <w:spacing w:before="0" w:after="0" w:line="252" w:lineRule="auto"/>
              <w:jc w:val="left"/>
            </w:pPr>
            <w:r>
              <w:rPr>
                <w:rFonts w:ascii="Calibri" w:hAnsi="Calibri" w:eastAsia="Calibri"/>
                <w:b w:val="0"/>
                <w:color w:val="111827"/>
                <w:sz w:val="16"/>
              </w:rPr>
              <w:t>Comparison needs identity</w:t>
            </w:r>
          </w:p>
        </w:tc>
        <w:tc>
          <w:tcPr>
            <w:tcW w:type="dxa" w:w="6160"/>
            <w:vAlign w:val="center"/>
          </w:tcPr>
          <w:p>
            <w:pPr>
              <w:pStyle w:val="TableBody"/>
              <w:spacing w:before="0" w:after="0" w:line="252" w:lineRule="auto"/>
              <w:jc w:val="left"/>
            </w:pPr>
            <w:r>
              <w:rPr>
                <w:rFonts w:ascii="Calibri" w:hAnsi="Calibri" w:eastAsia="Calibri"/>
                <w:b w:val="0"/>
                <w:color w:val="111827"/>
                <w:sz w:val="16"/>
              </w:rPr>
              <w:t>Passage continuity across time, branches, carriers, or regimes requires a declared correspondence.</w:t>
            </w:r>
          </w:p>
        </w:tc>
      </w:tr>
      <w:tr>
        <w:trPr>
          <w:cantSplit w:val="true"/>
        </w:trPr>
        <w:tc>
          <w:tcPr>
            <w:tcW w:type="dxa" w:w="900"/>
            <w:vAlign w:val="center"/>
          </w:tcPr>
          <w:p>
            <w:pPr>
              <w:pStyle w:val="TableBody"/>
              <w:spacing w:before="0" w:after="0" w:line="252" w:lineRule="auto"/>
              <w:jc w:val="left"/>
            </w:pPr>
            <w:r>
              <w:rPr>
                <w:rFonts w:ascii="Calibri" w:hAnsi="Calibri" w:eastAsia="Calibri"/>
                <w:b w:val="0"/>
                <w:color w:val="111827"/>
                <w:sz w:val="16"/>
              </w:rPr>
              <w:t>PT-L06</w:t>
            </w:r>
          </w:p>
        </w:tc>
        <w:tc>
          <w:tcPr>
            <w:tcW w:type="dxa" w:w="2300"/>
            <w:vAlign w:val="center"/>
          </w:tcPr>
          <w:p>
            <w:pPr>
              <w:pStyle w:val="TableBody"/>
              <w:spacing w:before="0" w:after="0" w:line="252" w:lineRule="auto"/>
              <w:jc w:val="left"/>
            </w:pPr>
            <w:r>
              <w:rPr>
                <w:rFonts w:ascii="Calibri" w:hAnsi="Calibri" w:eastAsia="Calibri"/>
                <w:b w:val="0"/>
                <w:color w:val="111827"/>
                <w:sz w:val="16"/>
              </w:rPr>
              <w:t>No total Passage scalar</w:t>
            </w:r>
          </w:p>
        </w:tc>
        <w:tc>
          <w:tcPr>
            <w:tcW w:type="dxa" w:w="6160"/>
            <w:vAlign w:val="center"/>
          </w:tcPr>
          <w:p>
            <w:pPr>
              <w:pStyle w:val="TableBody"/>
              <w:spacing w:before="0" w:after="0" w:line="252" w:lineRule="auto"/>
              <w:jc w:val="left"/>
            </w:pPr>
            <w:r>
              <w:rPr>
                <w:rFonts w:ascii="Calibri" w:hAnsi="Calibri" w:eastAsia="Calibri"/>
                <w:b w:val="0"/>
                <w:color w:val="111827"/>
                <w:sz w:val="16"/>
              </w:rPr>
              <w:t>A successor may open, close, preserve, redirect, redistribute, or capture different passages at once.</w:t>
            </w:r>
          </w:p>
        </w:tc>
      </w:tr>
      <w:tr>
        <w:trPr>
          <w:cantSplit w:val="true"/>
        </w:trPr>
        <w:tc>
          <w:tcPr>
            <w:tcW w:type="dxa" w:w="900"/>
            <w:vAlign w:val="center"/>
          </w:tcPr>
          <w:p>
            <w:pPr>
              <w:pStyle w:val="TableBody"/>
              <w:spacing w:before="0" w:after="0" w:line="252" w:lineRule="auto"/>
              <w:jc w:val="left"/>
            </w:pPr>
            <w:r>
              <w:rPr>
                <w:rFonts w:ascii="Calibri" w:hAnsi="Calibri" w:eastAsia="Calibri"/>
                <w:b w:val="0"/>
                <w:color w:val="111827"/>
                <w:sz w:val="16"/>
              </w:rPr>
              <w:t>PT-L07</w:t>
            </w:r>
          </w:p>
        </w:tc>
        <w:tc>
          <w:tcPr>
            <w:tcW w:type="dxa" w:w="2300"/>
            <w:vAlign w:val="center"/>
          </w:tcPr>
          <w:p>
            <w:pPr>
              <w:pStyle w:val="TableBody"/>
              <w:spacing w:before="0" w:after="0" w:line="252" w:lineRule="auto"/>
              <w:jc w:val="left"/>
            </w:pPr>
            <w:r>
              <w:rPr>
                <w:rFonts w:ascii="Calibri" w:hAnsi="Calibri" w:eastAsia="Calibri"/>
                <w:b w:val="0"/>
                <w:color w:val="111827"/>
                <w:sz w:val="16"/>
              </w:rPr>
              <w:t>Current Passage differs from formation capacity</w:t>
            </w:r>
          </w:p>
        </w:tc>
        <w:tc>
          <w:tcPr>
            <w:tcW w:type="dxa" w:w="6160"/>
            <w:vAlign w:val="center"/>
          </w:tcPr>
          <w:p>
            <w:pPr>
              <w:pStyle w:val="TableBody"/>
              <w:spacing w:before="0" w:after="0" w:line="252" w:lineRule="auto"/>
              <w:jc w:val="left"/>
            </w:pPr>
            <w:r>
              <w:rPr>
                <w:rFonts w:ascii="Calibri" w:hAnsi="Calibri" w:eastAsia="Calibri"/>
                <w:b w:val="0"/>
                <w:color w:val="111827"/>
                <w:sz w:val="16"/>
              </w:rPr>
              <w:t>Recovery of one route does not establish regeneration of the ability to produce routes.</w:t>
            </w:r>
          </w:p>
        </w:tc>
      </w:tr>
      <w:tr>
        <w:trPr>
          <w:cantSplit w:val="true"/>
        </w:trPr>
        <w:tc>
          <w:tcPr>
            <w:tcW w:type="dxa" w:w="900"/>
            <w:vAlign w:val="center"/>
          </w:tcPr>
          <w:p>
            <w:pPr>
              <w:pStyle w:val="TableBody"/>
              <w:spacing w:before="0" w:after="0" w:line="252" w:lineRule="auto"/>
              <w:jc w:val="left"/>
            </w:pPr>
            <w:r>
              <w:rPr>
                <w:rFonts w:ascii="Calibri" w:hAnsi="Calibri" w:eastAsia="Calibri"/>
                <w:b w:val="0"/>
                <w:color w:val="111827"/>
                <w:sz w:val="16"/>
              </w:rPr>
              <w:t>PT-L08</w:t>
            </w:r>
          </w:p>
        </w:tc>
        <w:tc>
          <w:tcPr>
            <w:tcW w:type="dxa" w:w="2300"/>
            <w:vAlign w:val="center"/>
          </w:tcPr>
          <w:p>
            <w:pPr>
              <w:pStyle w:val="TableBody"/>
              <w:spacing w:before="0" w:after="0" w:line="252" w:lineRule="auto"/>
              <w:jc w:val="left"/>
            </w:pPr>
            <w:r>
              <w:rPr>
                <w:rFonts w:ascii="Calibri" w:hAnsi="Calibri" w:eastAsia="Calibri"/>
                <w:b w:val="0"/>
                <w:color w:val="111827"/>
                <w:sz w:val="16"/>
              </w:rPr>
              <w:t>Model-local prediction</w:t>
            </w:r>
          </w:p>
        </w:tc>
        <w:tc>
          <w:tcPr>
            <w:tcW w:type="dxa" w:w="6160"/>
            <w:vAlign w:val="center"/>
          </w:tcPr>
          <w:p>
            <w:pPr>
              <w:pStyle w:val="TableBody"/>
              <w:spacing w:before="0" w:after="0" w:line="252" w:lineRule="auto"/>
              <w:jc w:val="left"/>
            </w:pPr>
            <w:r>
              <w:rPr>
                <w:rFonts w:ascii="Calibri" w:hAnsi="Calibri" w:eastAsia="Calibri"/>
                <w:b w:val="0"/>
                <w:color w:val="111827"/>
                <w:sz w:val="16"/>
              </w:rPr>
              <w:t>Passage Theory becomes predictive only through a local Passage Model with domain rules and evidence.</w:t>
            </w:r>
          </w:p>
        </w:tc>
      </w:tr>
      <w:tr>
        <w:trPr>
          <w:cantSplit w:val="true"/>
        </w:trPr>
        <w:tc>
          <w:tcPr>
            <w:tcW w:type="dxa" w:w="900"/>
            <w:vAlign w:val="center"/>
          </w:tcPr>
          <w:p>
            <w:pPr>
              <w:pStyle w:val="TableBody"/>
              <w:spacing w:before="0" w:after="0" w:line="252" w:lineRule="auto"/>
              <w:jc w:val="left"/>
            </w:pPr>
            <w:r>
              <w:rPr>
                <w:rFonts w:ascii="Calibri" w:hAnsi="Calibri" w:eastAsia="Calibri"/>
                <w:b w:val="0"/>
                <w:color w:val="111827"/>
                <w:sz w:val="16"/>
              </w:rPr>
              <w:t>PT-L09</w:t>
            </w:r>
          </w:p>
        </w:tc>
        <w:tc>
          <w:tcPr>
            <w:tcW w:type="dxa" w:w="2300"/>
            <w:vAlign w:val="center"/>
          </w:tcPr>
          <w:p>
            <w:pPr>
              <w:pStyle w:val="TableBody"/>
              <w:spacing w:before="0" w:after="0" w:line="252" w:lineRule="auto"/>
              <w:jc w:val="left"/>
            </w:pPr>
            <w:r>
              <w:rPr>
                <w:rFonts w:ascii="Calibri" w:hAnsi="Calibri" w:eastAsia="Calibri"/>
                <w:b w:val="0"/>
                <w:color w:val="111827"/>
                <w:sz w:val="16"/>
              </w:rPr>
              <w:t>History sufficiency</w:t>
            </w:r>
          </w:p>
        </w:tc>
        <w:tc>
          <w:tcPr>
            <w:tcW w:type="dxa" w:w="6160"/>
            <w:vAlign w:val="center"/>
          </w:tcPr>
          <w:p>
            <w:pPr>
              <w:pStyle w:val="TableBody"/>
              <w:spacing w:before="0" w:after="0" w:line="252" w:lineRule="auto"/>
              <w:jc w:val="left"/>
            </w:pPr>
            <w:r>
              <w:rPr>
                <w:rFonts w:ascii="Calibri" w:hAnsi="Calibri" w:eastAsia="Calibri"/>
                <w:b w:val="0"/>
                <w:color w:val="111827"/>
                <w:sz w:val="16"/>
              </w:rPr>
              <w:t>The represented configuration must retain history that can change the requested successor evaluation; the same observed state need not imply the same future.</w:t>
            </w:r>
          </w:p>
        </w:tc>
      </w:tr>
      <w:tr>
        <w:trPr>
          <w:cantSplit w:val="true"/>
        </w:trPr>
        <w:tc>
          <w:tcPr>
            <w:tcW w:type="dxa" w:w="900"/>
            <w:vAlign w:val="center"/>
          </w:tcPr>
          <w:p>
            <w:pPr>
              <w:pStyle w:val="TableBody"/>
              <w:spacing w:before="0" w:after="0" w:line="252" w:lineRule="auto"/>
              <w:jc w:val="left"/>
            </w:pPr>
            <w:r>
              <w:rPr>
                <w:rFonts w:ascii="Calibri" w:hAnsi="Calibri" w:eastAsia="Calibri"/>
                <w:b w:val="0"/>
                <w:color w:val="111827"/>
                <w:sz w:val="16"/>
              </w:rPr>
              <w:t>PT-L10</w:t>
            </w:r>
          </w:p>
        </w:tc>
        <w:tc>
          <w:tcPr>
            <w:tcW w:type="dxa" w:w="2300"/>
            <w:vAlign w:val="center"/>
          </w:tcPr>
          <w:p>
            <w:pPr>
              <w:pStyle w:val="TableBody"/>
              <w:spacing w:before="0" w:after="0" w:line="252" w:lineRule="auto"/>
              <w:jc w:val="left"/>
            </w:pPr>
            <w:r>
              <w:rPr>
                <w:rFonts w:ascii="Calibri" w:hAnsi="Calibri" w:eastAsia="Calibri"/>
                <w:b w:val="0"/>
                <w:color w:val="111827"/>
                <w:sz w:val="16"/>
              </w:rPr>
              <w:t>Fresh composition</w:t>
            </w:r>
          </w:p>
        </w:tc>
        <w:tc>
          <w:tcPr>
            <w:tcW w:type="dxa" w:w="6160"/>
            <w:vAlign w:val="center"/>
          </w:tcPr>
          <w:p>
            <w:pPr>
              <w:pStyle w:val="TableBody"/>
              <w:spacing w:before="0" w:after="0" w:line="252" w:lineRule="auto"/>
              <w:jc w:val="left"/>
            </w:pPr>
            <w:r>
              <w:rPr>
                <w:rFonts w:ascii="Calibri" w:hAnsi="Calibri" w:eastAsia="Calibri"/>
                <w:b w:val="0"/>
                <w:color w:val="111827"/>
                <w:sz w:val="16"/>
              </w:rPr>
              <w:t>Component qualification, plurality, or local success does not determine a composite; interfaces, ordering, shared support, failure, burden, protection, and survivorship must be constructed.</w:t>
            </w:r>
          </w:p>
        </w:tc>
      </w:tr>
      <w:tr>
        <w:trPr>
          <w:cantSplit w:val="true"/>
        </w:trPr>
        <w:tc>
          <w:tcPr>
            <w:tcW w:type="dxa" w:w="900"/>
            <w:vAlign w:val="center"/>
          </w:tcPr>
          <w:p>
            <w:pPr>
              <w:pStyle w:val="TableBody"/>
              <w:spacing w:before="0" w:after="0" w:line="252" w:lineRule="auto"/>
              <w:jc w:val="left"/>
            </w:pPr>
            <w:r>
              <w:rPr>
                <w:rFonts w:ascii="Calibri" w:hAnsi="Calibri" w:eastAsia="Calibri"/>
                <w:b w:val="0"/>
                <w:color w:val="111827"/>
                <w:sz w:val="16"/>
              </w:rPr>
              <w:t>PT-L11</w:t>
            </w:r>
          </w:p>
        </w:tc>
        <w:tc>
          <w:tcPr>
            <w:tcW w:type="dxa" w:w="2300"/>
            <w:vAlign w:val="center"/>
          </w:tcPr>
          <w:p>
            <w:pPr>
              <w:pStyle w:val="TableBody"/>
              <w:spacing w:before="0" w:after="0" w:line="252" w:lineRule="auto"/>
              <w:jc w:val="left"/>
            </w:pPr>
            <w:r>
              <w:rPr>
                <w:rFonts w:ascii="Calibri" w:hAnsi="Calibri" w:eastAsia="Calibri"/>
                <w:b w:val="0"/>
                <w:color w:val="111827"/>
                <w:sz w:val="16"/>
              </w:rPr>
              <w:t>Burden does not vanish</w:t>
            </w:r>
          </w:p>
        </w:tc>
        <w:tc>
          <w:tcPr>
            <w:tcW w:type="dxa" w:w="6160"/>
            <w:vAlign w:val="center"/>
          </w:tcPr>
          <w:p>
            <w:pPr>
              <w:pStyle w:val="TableBody"/>
              <w:spacing w:before="0" w:after="0" w:line="252" w:lineRule="auto"/>
              <w:jc w:val="left"/>
            </w:pPr>
            <w:r>
              <w:rPr>
                <w:rFonts w:ascii="Calibri" w:hAnsi="Calibri" w:eastAsia="Calibri"/>
                <w:b w:val="0"/>
                <w:color w:val="111827"/>
                <w:sz w:val="16"/>
              </w:rPr>
              <w:t>A local reduction can transfer, transform, mature, or externalize burden; local zero is not system zero without a complete account.</w:t>
            </w:r>
          </w:p>
        </w:tc>
      </w:tr>
    </w:tbl>
    <w:p>
      <w:pPr>
        <w:spacing w:after="0"/>
      </w:pPr>
    </w:p>
    <w:p>
      <w:pPr>
        <w:pStyle w:val="Heading2"/>
      </w:pPr>
      <w:r>
        <w:rPr>
          <w:rFonts w:ascii="Calibri" w:hAnsi="Calibri" w:eastAsia="Calibri"/>
        </w:rPr>
        <w:t>Diagnostic forms and qualifications</w:t>
      </w:r>
    </w:p>
    <w:p>
      <w:r>
        <w:rPr>
          <w:rFonts w:ascii="Calibri" w:hAnsi="Calibri" w:eastAsia="Calibri"/>
        </w:rPr>
        <w:t>Common local forms: Route; Hold; Return; Redirection; Release; Exit; Formation Passage; Null Passage.</w:t>
      </w:r>
    </w:p>
    <w:p>
      <w:r>
        <w:rPr>
          <w:rFonts w:ascii="Calibri" w:hAnsi="Calibri" w:eastAsia="Calibri"/>
        </w:rPr>
        <w:t>Reusable qualification dimensions: apparent; salient; reachable; accessible; selectable; permitted; executable; effective; viable; maintainable; durable; independent.</w:t>
      </w:r>
    </w:p>
    <w:tbl>
      <w:tblPr>
        <w:tblW w:type="dxa" w:w="9360"/>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trHeight w:hRule="atLeast"/>
          <w:cantSplit w:val="true"/>
          <w:tblHeader w:val="true"/>
        </w:trPr>
        <w:tc>
          <w:tcPr>
            <w:tcW w:type="dxa" w:w="9360"/>
            <w:tcMar>
              <w:top w:w="80" w:type="dxa"/>
              <w:start w:w="120" w:type="dxa"/>
              <w:bottom w:w="80" w:type="dxa"/>
              <w:end w:w="120" w:type="dxa"/>
            </w:tcMar>
            <w:shd w:fill="F4F6F9" w:val="clear"/>
          </w:tcPr>
          <w:p>
            <w:pPr>
              <w:spacing w:before="20" w:after="20" w:line="276" w:lineRule="auto"/>
            </w:pPr>
            <w:r>
              <w:rPr>
                <w:rFonts w:ascii="Calibri" w:hAnsi="Calibri" w:eastAsia="Calibri"/>
                <w:b/>
                <w:color w:val="2E74B5"/>
                <w:sz w:val="17"/>
              </w:rPr>
              <w:t xml:space="preserve">BOUNDARY  </w:t>
            </w:r>
            <w:r>
              <w:rPr>
                <w:rFonts w:ascii="Calibri" w:hAnsi="Calibri" w:eastAsia="Calibri"/>
                <w:color w:val="0B2545"/>
                <w:sz w:val="20"/>
              </w:rPr>
              <w:t>These are reusable diagnostic dimensions, not one universal linear ladder. A Passage Model selects, orders, defines, and verifies only the dimensions relevant to its Demand. No dimension inherits the next.</w:t>
            </w:r>
          </w:p>
        </w:tc>
      </w:tr>
    </w:tbl>
    <w:p>
      <w:pPr>
        <w:spacing w:after="0"/>
      </w:pPr>
    </w:p>
    <w:p>
      <w:pPr>
        <w:pStyle w:val="Heading2"/>
      </w:pPr>
      <w:r>
        <w:rPr>
          <w:rFonts w:ascii="Calibri" w:hAnsi="Calibri" w:eastAsia="Calibri"/>
        </w:rPr>
        <w:t>Compact exact language</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2500"/>
        <w:gridCol w:w="6860"/>
      </w:tblGrid>
      <w:tr>
        <w:trPr>
          <w:trHeight w:hRule="atLeast"/>
          <w:cantSplit w:val="true"/>
          <w:tblHeader w:val="true"/>
        </w:trPr>
        <w:tc>
          <w:tcPr>
            <w:tcW w:type="dxa" w:w="250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Term</w:t>
            </w:r>
          </w:p>
        </w:tc>
        <w:tc>
          <w:tcPr>
            <w:tcW w:type="dxa" w:w="6860"/>
            <w:tcMar>
              <w:top w:w="80" w:type="dxa"/>
              <w:start w:w="120" w:type="dxa"/>
              <w:bottom w:w="80" w:type="dxa"/>
              <w:end w:w="120" w:type="dxa"/>
            </w:tcMar>
            <w:shd w:fill="E8EEF5" w:val="clear"/>
            <w:vAlign w:val="center"/>
          </w:tcPr>
          <w:p>
            <w:pPr>
              <w:pStyle w:val="TableBody"/>
              <w:spacing w:before="0" w:after="0" w:line="252" w:lineRule="auto"/>
              <w:jc w:val="left"/>
            </w:pPr>
            <w:r>
              <w:rPr>
                <w:rFonts w:ascii="Calibri" w:hAnsi="Calibri" w:eastAsia="Calibri"/>
                <w:b/>
                <w:color w:val="0B2545"/>
                <w:sz w:val="16"/>
              </w:rPr>
              <w:t>Compact expression</w:t>
            </w:r>
          </w:p>
        </w:tc>
      </w:tr>
      <w:tr>
        <w:trPr>
          <w:cantSplit w:val="true"/>
        </w:trPr>
        <w:tc>
          <w:tcPr>
            <w:tcW w:type="dxa" w:w="2500"/>
            <w:vAlign w:val="center"/>
          </w:tcPr>
          <w:p>
            <w:pPr>
              <w:pStyle w:val="TableBody"/>
              <w:spacing w:before="0" w:after="0" w:line="252" w:lineRule="auto"/>
              <w:jc w:val="left"/>
            </w:pPr>
            <w:r>
              <w:rPr>
                <w:rFonts w:ascii="Calibri" w:hAnsi="Calibri" w:eastAsia="Calibri"/>
                <w:b w:val="0"/>
                <w:color w:val="111827"/>
                <w:sz w:val="16"/>
              </w:rPr>
              <w:t>Architecture (inside Passage Theory)</w:t>
            </w:r>
          </w:p>
        </w:tc>
        <w:tc>
          <w:tcPr>
            <w:tcW w:type="dxa" w:w="6860"/>
            <w:vAlign w:val="center"/>
          </w:tcPr>
          <w:p>
            <w:pPr>
              <w:pStyle w:val="TableBody"/>
              <w:spacing w:before="0" w:after="0" w:line="252" w:lineRule="auto"/>
              <w:jc w:val="left"/>
            </w:pPr>
            <w:r>
              <w:rPr>
                <w:rFonts w:ascii="Calibri" w:hAnsi="Calibri" w:eastAsia="Calibri"/>
                <w:b w:val="0"/>
                <w:color w:val="111827"/>
                <w:sz w:val="16"/>
              </w:rPr>
              <w:t>Within Passage Theory, an architecture is a configured arrangement that conditions Passage.</w:t>
            </w:r>
          </w:p>
        </w:tc>
      </w:tr>
      <w:tr>
        <w:trPr>
          <w:cantSplit w:val="true"/>
        </w:trPr>
        <w:tc>
          <w:tcPr>
            <w:tcW w:type="dxa" w:w="2500"/>
            <w:vAlign w:val="center"/>
          </w:tcPr>
          <w:p>
            <w:pPr>
              <w:pStyle w:val="TableBody"/>
              <w:spacing w:before="0" w:after="0" w:line="252" w:lineRule="auto"/>
              <w:jc w:val="left"/>
            </w:pPr>
            <w:r>
              <w:rPr>
                <w:rFonts w:ascii="Calibri" w:hAnsi="Calibri" w:eastAsia="Calibri"/>
                <w:b w:val="0"/>
                <w:color w:val="111827"/>
                <w:sz w:val="16"/>
              </w:rPr>
              <w:t>Plan</w:t>
            </w:r>
          </w:p>
        </w:tc>
        <w:tc>
          <w:tcPr>
            <w:tcW w:type="dxa" w:w="6860"/>
            <w:vAlign w:val="center"/>
          </w:tcPr>
          <w:p>
            <w:pPr>
              <w:pStyle w:val="TableBody"/>
              <w:spacing w:before="0" w:after="0" w:line="252" w:lineRule="auto"/>
              <w:jc w:val="left"/>
            </w:pPr>
            <w:r>
              <w:rPr>
                <w:rFonts w:ascii="Calibri" w:hAnsi="Calibri" w:eastAsia="Calibri"/>
                <w:b w:val="0"/>
                <w:color w:val="111827"/>
                <w:sz w:val="16"/>
              </w:rPr>
              <w:t>A plan is Passage selected under Regard.</w:t>
            </w:r>
          </w:p>
        </w:tc>
      </w:tr>
      <w:tr>
        <w:trPr>
          <w:cantSplit w:val="true"/>
        </w:trPr>
        <w:tc>
          <w:tcPr>
            <w:tcW w:type="dxa" w:w="2500"/>
            <w:vAlign w:val="center"/>
          </w:tcPr>
          <w:p>
            <w:pPr>
              <w:pStyle w:val="TableBody"/>
              <w:spacing w:before="0" w:after="0" w:line="252" w:lineRule="auto"/>
              <w:jc w:val="left"/>
            </w:pPr>
            <w:r>
              <w:rPr>
                <w:rFonts w:ascii="Calibri" w:hAnsi="Calibri" w:eastAsia="Calibri"/>
                <w:b w:val="0"/>
                <w:color w:val="111827"/>
                <w:sz w:val="16"/>
              </w:rPr>
              <w:t>Work</w:t>
            </w:r>
          </w:p>
        </w:tc>
        <w:tc>
          <w:tcPr>
            <w:tcW w:type="dxa" w:w="6860"/>
            <w:vAlign w:val="center"/>
          </w:tcPr>
          <w:p>
            <w:pPr>
              <w:pStyle w:val="TableBody"/>
              <w:spacing w:before="0" w:after="0" w:line="252" w:lineRule="auto"/>
              <w:jc w:val="left"/>
            </w:pPr>
            <w:r>
              <w:rPr>
                <w:rFonts w:ascii="Calibri" w:hAnsi="Calibri" w:eastAsia="Calibri"/>
                <w:b w:val="0"/>
                <w:color w:val="111827"/>
                <w:sz w:val="16"/>
              </w:rPr>
              <w:t>Work is organized engagement with selected Passage.</w:t>
            </w:r>
          </w:p>
        </w:tc>
      </w:tr>
      <w:tr>
        <w:trPr>
          <w:cantSplit w:val="true"/>
        </w:trPr>
        <w:tc>
          <w:tcPr>
            <w:tcW w:type="dxa" w:w="2500"/>
            <w:vAlign w:val="center"/>
          </w:tcPr>
          <w:p>
            <w:pPr>
              <w:pStyle w:val="TableBody"/>
              <w:spacing w:before="0" w:after="0" w:line="252" w:lineRule="auto"/>
              <w:jc w:val="left"/>
            </w:pPr>
            <w:r>
              <w:rPr>
                <w:rFonts w:ascii="Calibri" w:hAnsi="Calibri" w:eastAsia="Calibri"/>
                <w:b w:val="0"/>
                <w:color w:val="111827"/>
                <w:sz w:val="16"/>
              </w:rPr>
              <w:t>Consequence</w:t>
            </w:r>
          </w:p>
        </w:tc>
        <w:tc>
          <w:tcPr>
            <w:tcW w:type="dxa" w:w="6860"/>
            <w:vAlign w:val="center"/>
          </w:tcPr>
          <w:p>
            <w:pPr>
              <w:pStyle w:val="TableBody"/>
              <w:spacing w:before="0" w:after="0" w:line="252" w:lineRule="auto"/>
              <w:jc w:val="left"/>
            </w:pPr>
            <w:r>
              <w:rPr>
                <w:rFonts w:ascii="Calibri" w:hAnsi="Calibri" w:eastAsia="Calibri"/>
                <w:b w:val="0"/>
                <w:color w:val="111827"/>
                <w:sz w:val="16"/>
              </w:rPr>
              <w:t>Consequence is supported successor change plus supported effects.</w:t>
            </w:r>
          </w:p>
        </w:tc>
      </w:tr>
      <w:tr>
        <w:trPr>
          <w:cantSplit w:val="true"/>
        </w:trPr>
        <w:tc>
          <w:tcPr>
            <w:tcW w:type="dxa" w:w="2500"/>
            <w:vAlign w:val="center"/>
          </w:tcPr>
          <w:p>
            <w:pPr>
              <w:pStyle w:val="TableBody"/>
              <w:spacing w:before="0" w:after="0" w:line="252" w:lineRule="auto"/>
              <w:jc w:val="left"/>
            </w:pPr>
            <w:r>
              <w:rPr>
                <w:rFonts w:ascii="Calibri" w:hAnsi="Calibri" w:eastAsia="Calibri"/>
                <w:b w:val="0"/>
                <w:color w:val="111827"/>
                <w:sz w:val="16"/>
              </w:rPr>
              <w:t>Learning</w:t>
            </w:r>
          </w:p>
        </w:tc>
        <w:tc>
          <w:tcPr>
            <w:tcW w:type="dxa" w:w="6860"/>
            <w:vAlign w:val="center"/>
          </w:tcPr>
          <w:p>
            <w:pPr>
              <w:pStyle w:val="TableBody"/>
              <w:spacing w:before="0" w:after="0" w:line="252" w:lineRule="auto"/>
              <w:jc w:val="left"/>
            </w:pPr>
            <w:r>
              <w:rPr>
                <w:rFonts w:ascii="Calibri" w:hAnsi="Calibri" w:eastAsia="Calibri"/>
                <w:b w:val="0"/>
                <w:color w:val="111827"/>
                <w:sz w:val="16"/>
              </w:rPr>
              <w:t>Learning is warranted revision of a model, selection rule, or lease from an admitted Outcome Receipt.</w:t>
            </w:r>
          </w:p>
        </w:tc>
      </w:tr>
    </w:tbl>
    <w:p>
      <w:pPr>
        <w:spacing w:after="0"/>
      </w:pPr>
    </w:p>
    <w:p>
      <w:pPr>
        <w:pStyle w:val="Heading1"/>
      </w:pPr>
      <w:r>
        <w:t>4  Passage Model contract</w:t>
      </w:r>
    </w:p>
    <w:p>
      <w:pPr>
        <w:pStyle w:val="Kicker"/>
        <w:keepNext/>
      </w:pPr>
      <w:r>
        <w:rPr>
          <w:rFonts w:ascii="Calibri" w:hAnsi="Calibri" w:eastAsia="Calibri"/>
          <w:color w:val="667085"/>
        </w:rPr>
        <w:t>A local model is an optional instrument, not the umbrella.</w:t>
      </w:r>
    </w:p>
    <w:tbl>
      <w:tblPr>
        <w:tblW w:type="dxa" w:w="9360"/>
        <w:tblLayout w:type="fixed"/>
        <w:tblLook w:firstColumn="1" w:firstRow="1" w:lastColumn="0" w:lastRow="0" w:noHBand="0" w:noVBand="1" w:val="04A0"/>
        <w:tblInd w:w="120" w:type="dxa"/>
        <w:tblBorders>
          <w:top w:val="single" w:sz="0" w:space="0" w:color="E8EEF5"/>
          <w:left w:val="single" w:sz="0" w:space="0" w:color="E8EEF5"/>
          <w:bottom w:val="single" w:sz="0" w:space="0" w:color="E8EEF5"/>
          <w:right w:val="single" w:sz="0" w:space="0" w:color="E8EEF5"/>
          <w:insideH w:val="single" w:sz="0" w:space="0" w:color="E8EEF5"/>
          <w:insideV w:val="single" w:sz="0" w:space="0" w:color="E8EEF5"/>
        </w:tblBorders>
      </w:tblPr>
      <w:tblGrid>
        <w:gridCol w:w="9360"/>
      </w:tblGrid>
      <w:tr>
        <w:trPr>
          <w:trHeight w:hRule="atLeast"/>
          <w:cantSplit w:val="true"/>
          <w:tblHeader w:val="true"/>
        </w:trPr>
        <w:tc>
          <w:tcPr>
            <w:tcW w:type="dxa" w:w="9360"/>
            <w:tcMar>
              <w:top w:w="80" w:type="dxa"/>
              <w:start w:w="120" w:type="dxa"/>
              <w:bottom w:w="80" w:type="dxa"/>
              <w:end w:w="120" w:type="dxa"/>
            </w:tcMar>
            <w:shd w:fill="E8EEF5" w:val="clear"/>
          </w:tcPr>
          <w:p>
            <w:pPr>
              <w:spacing w:before="20" w:after="20" w:line="276" w:lineRule="auto"/>
            </w:pPr>
            <w:r>
              <w:rPr>
                <w:rFonts w:ascii="Calibri" w:hAnsi="Calibri" w:eastAsia="Calibri"/>
                <w:b/>
                <w:color w:val="2E74B5"/>
                <w:sz w:val="17"/>
              </w:rPr>
              <w:t xml:space="preserve">ACTIVATION  </w:t>
            </w:r>
            <w:r>
              <w:rPr>
                <w:rFonts w:ascii="Calibri" w:hAnsi="Calibri" w:eastAsia="Calibri"/>
                <w:color w:val="0B2545"/>
                <w:sz w:val="20"/>
              </w:rPr>
              <w:t>Invoke a Passage Model only when configuration-dependent possibility, engagement, consequence, or successor capacity can change the Return. Otherwise mark Passage modeling NOT_REQUIRED; Architecture+ may use other domain theories and evidence without recasting the task as Passage.</w:t>
            </w:r>
          </w:p>
        </w:tc>
      </w:tr>
    </w:tbl>
    <w:p>
      <w:pPr>
        <w:spacing w:after="0"/>
      </w:pPr>
    </w:p>
    <w:p>
      <w:r>
        <w:rPr>
          <w:rFonts w:ascii="Calibri" w:hAnsi="Calibri" w:eastAsia="Calibri"/>
        </w:rPr>
        <w:t>A domain-bound, falsifiable instantiation of Passage Theory. Architecture+ builds on local Passage Model predictions, not on raw Passage Theory claims.</w:t>
      </w:r>
    </w:p>
    <w:p>
      <w:pPr>
        <w:pStyle w:val="Heading2"/>
      </w:pPr>
      <w:r>
        <w:rPr>
          <w:rFonts w:ascii="Calibri" w:hAnsi="Calibri" w:eastAsia="Calibri"/>
        </w:rPr>
        <w:t>Required inputs</w:t>
      </w:r>
    </w:p>
    <w:p>
      <w:pPr>
        <w:pStyle w:val="ListBullet"/>
      </w:pPr>
      <w:r>
        <w:rPr>
          <w:rFonts w:ascii="Calibri" w:hAnsi="Calibri" w:eastAsia="Calibri"/>
        </w:rPr>
        <w:t>model identity, version, regime, scope, and empirical standing</w:t>
      </w:r>
    </w:p>
    <w:p>
      <w:pPr>
        <w:pStyle w:val="ListBullet"/>
      </w:pPr>
      <w:r>
        <w:rPr>
          <w:rFonts w:ascii="Calibri" w:hAnsi="Calibri" w:eastAsia="Calibri"/>
        </w:rPr>
        <w:t>configuration schema and current configuration</w:t>
      </w:r>
    </w:p>
    <w:p>
      <w:pPr>
        <w:pStyle w:val="ListBullet"/>
      </w:pPr>
      <w:r>
        <w:rPr>
          <w:rFonts w:ascii="Calibri" w:hAnsi="Calibri" w:eastAsia="Calibri"/>
        </w:rPr>
        <w:t>candidate Passage types</w:t>
      </w:r>
    </w:p>
    <w:p>
      <w:pPr>
        <w:pStyle w:val="ListBullet"/>
      </w:pPr>
      <w:r>
        <w:rPr>
          <w:rFonts w:ascii="Calibri" w:hAnsi="Calibri" w:eastAsia="Calibri"/>
        </w:rPr>
        <w:t>bearer, target, Regard, Demand, horizon, and Basis</w:t>
      </w:r>
    </w:p>
    <w:p>
      <w:pPr>
        <w:pStyle w:val="ListBullet"/>
      </w:pPr>
      <w:r>
        <w:rPr>
          <w:rFonts w:ascii="Calibri" w:hAnsi="Calibri" w:eastAsia="Calibri"/>
        </w:rPr>
        <w:t>qualification dimensions and mandatory conditions</w:t>
      </w:r>
    </w:p>
    <w:p>
      <w:pPr>
        <w:pStyle w:val="ListBullet"/>
      </w:pPr>
      <w:r>
        <w:rPr>
          <w:rFonts w:ascii="Calibri" w:hAnsi="Calibri" w:eastAsia="Calibri"/>
        </w:rPr>
        <w:t>transition and consequence rules</w:t>
      </w:r>
    </w:p>
    <w:p>
      <w:pPr>
        <w:pStyle w:val="ListBullet"/>
      </w:pPr>
      <w:r>
        <w:rPr>
          <w:rFonts w:ascii="Calibri" w:hAnsi="Calibri" w:eastAsia="Calibri"/>
        </w:rPr>
        <w:t>identity or correspondence rules across configurations</w:t>
      </w:r>
    </w:p>
    <w:p>
      <w:pPr>
        <w:pStyle w:val="ListBullet"/>
      </w:pPr>
      <w:r>
        <w:rPr>
          <w:rFonts w:ascii="Calibri" w:hAnsi="Calibri" w:eastAsia="Calibri"/>
        </w:rPr>
        <w:t>uncertainty, assumptions, evidence, and verifiers</w:t>
      </w:r>
    </w:p>
    <w:p>
      <w:pPr>
        <w:pStyle w:val="ListBullet"/>
      </w:pPr>
      <w:r>
        <w:rPr>
          <w:rFonts w:ascii="Calibri" w:hAnsi="Calibri" w:eastAsia="Calibri"/>
        </w:rPr>
        <w:t>relevant Resource Accounts</w:t>
      </w:r>
    </w:p>
    <w:p>
      <w:pPr>
        <w:pStyle w:val="ListBullet"/>
      </w:pPr>
      <w:r>
        <w:rPr>
          <w:rFonts w:ascii="Calibri" w:hAnsi="Calibri" w:eastAsia="Calibri"/>
        </w:rPr>
        <w:t>protected conditions and omitted effects</w:t>
      </w:r>
    </w:p>
    <w:p>
      <w:pPr>
        <w:pStyle w:val="Heading2"/>
      </w:pPr>
      <w:r>
        <w:rPr>
          <w:rFonts w:ascii="Calibri" w:hAnsi="Calibri" w:eastAsia="Calibri"/>
        </w:rPr>
        <w:t>Permitted outputs</w:t>
      </w:r>
    </w:p>
    <w:p>
      <w:pPr>
        <w:pStyle w:val="ListBullet"/>
      </w:pPr>
      <w:r>
        <w:rPr>
          <w:rFonts w:ascii="Calibri" w:hAnsi="Calibri" w:eastAsia="Calibri"/>
        </w:rPr>
        <w:t>candidate and qualified passages</w:t>
      </w:r>
    </w:p>
    <w:p>
      <w:pPr>
        <w:pStyle w:val="ListBullet"/>
      </w:pPr>
      <w:r>
        <w:rPr>
          <w:rFonts w:ascii="Calibri" w:hAnsi="Calibri" w:eastAsia="Calibri"/>
        </w:rPr>
        <w:t>exact qualification failures and bottlenecks</w:t>
      </w:r>
    </w:p>
    <w:p>
      <w:pPr>
        <w:pStyle w:val="ListBullet"/>
      </w:pPr>
      <w:r>
        <w:rPr>
          <w:rFonts w:ascii="Calibri" w:hAnsi="Calibri" w:eastAsia="Calibri"/>
        </w:rPr>
        <w:t>required resources and transformation conditions</w:t>
      </w:r>
    </w:p>
    <w:p>
      <w:pPr>
        <w:pStyle w:val="ListBullet"/>
      </w:pPr>
      <w:r>
        <w:rPr>
          <w:rFonts w:ascii="Calibri" w:hAnsi="Calibri" w:eastAsia="Calibri"/>
        </w:rPr>
        <w:t>successor configurations or distributions</w:t>
      </w:r>
    </w:p>
    <w:p>
      <w:pPr>
        <w:pStyle w:val="ListBullet"/>
      </w:pPr>
      <w:r>
        <w:rPr>
          <w:rFonts w:ascii="Calibri" w:hAnsi="Calibri" w:eastAsia="Calibri"/>
        </w:rPr>
        <w:t>opened, closed, preserved, redirected, incomparable, or open Passage</w:t>
      </w:r>
    </w:p>
    <w:p>
      <w:pPr>
        <w:pStyle w:val="ListBullet"/>
      </w:pPr>
      <w:r>
        <w:rPr>
          <w:rFonts w:ascii="Calibri" w:hAnsi="Calibri" w:eastAsia="Calibri"/>
        </w:rPr>
        <w:t>burden, residue, distribution, and formation effects</w:t>
      </w:r>
    </w:p>
    <w:p>
      <w:pPr>
        <w:pStyle w:val="ListBullet"/>
      </w:pPr>
      <w:r>
        <w:rPr>
          <w:rFonts w:ascii="Calibri" w:hAnsi="Calibri" w:eastAsia="Calibri"/>
        </w:rPr>
        <w:t>exact unknowns and useful discriminating tests</w:t>
      </w:r>
    </w:p>
    <w:p>
      <w:pPr>
        <w:pStyle w:val="Heading2"/>
      </w:pPr>
      <w:r>
        <w:rPr>
          <w:rFonts w:ascii="Calibri" w:hAnsi="Calibri" w:eastAsia="Calibri"/>
        </w:rPr>
        <w:t>Forbidden inferences</w:t>
      </w:r>
    </w:p>
    <w:p>
      <w:pPr>
        <w:pStyle w:val="ListBullet"/>
      </w:pPr>
      <w:r>
        <w:rPr>
          <w:rFonts w:ascii="Calibri" w:hAnsi="Calibri" w:eastAsia="Calibri"/>
        </w:rPr>
        <w:t>objective truth</w:t>
      </w:r>
    </w:p>
    <w:p>
      <w:pPr>
        <w:pStyle w:val="ListBullet"/>
      </w:pPr>
      <w:r>
        <w:rPr>
          <w:rFonts w:ascii="Calibri" w:hAnsi="Calibri" w:eastAsia="Calibri"/>
        </w:rPr>
        <w:t>legal or social permission</w:t>
      </w:r>
    </w:p>
    <w:p>
      <w:pPr>
        <w:pStyle w:val="ListBullet"/>
      </w:pPr>
      <w:r>
        <w:rPr>
          <w:rFonts w:ascii="Calibri" w:hAnsi="Calibri" w:eastAsia="Calibri"/>
        </w:rPr>
        <w:t>value or legitimacy</w:t>
      </w:r>
    </w:p>
    <w:p>
      <w:pPr>
        <w:pStyle w:val="ListBullet"/>
      </w:pPr>
      <w:r>
        <w:rPr>
          <w:rFonts w:ascii="Calibri" w:hAnsi="Calibri" w:eastAsia="Calibri"/>
        </w:rPr>
        <w:t>a final decision</w:t>
      </w:r>
    </w:p>
    <w:p>
      <w:pPr>
        <w:pStyle w:val="ListBullet"/>
      </w:pPr>
      <w:r>
        <w:rPr>
          <w:rFonts w:ascii="Calibri" w:hAnsi="Calibri" w:eastAsia="Calibri"/>
        </w:rPr>
        <w:t>causal certainty not supplied by the domain model</w:t>
      </w:r>
    </w:p>
    <w:p>
      <w:pPr>
        <w:pStyle w:val="ListBullet"/>
      </w:pPr>
      <w:r>
        <w:rPr>
          <w:rFonts w:ascii="Calibri" w:hAnsi="Calibri" w:eastAsia="Calibri"/>
        </w:rPr>
        <w:t>world effect</w:t>
      </w:r>
    </w:p>
    <w:tbl>
      <w:tblPr>
        <w:tblW w:type="dxa" w:w="9360"/>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trHeight w:hRule="atLeast"/>
          <w:cantSplit w:val="true"/>
          <w:tblHeader w:val="true"/>
        </w:trPr>
        <w:tc>
          <w:tcPr>
            <w:tcW w:type="dxa" w:w="9360"/>
            <w:tcMar>
              <w:top w:w="80" w:type="dxa"/>
              <w:start w:w="120" w:type="dxa"/>
              <w:bottom w:w="80" w:type="dxa"/>
              <w:end w:w="120" w:type="dxa"/>
            </w:tcMar>
            <w:shd w:fill="F4F6F9" w:val="clear"/>
          </w:tcPr>
          <w:p>
            <w:pPr>
              <w:spacing w:before="20" w:after="20" w:line="276" w:lineRule="auto"/>
            </w:pPr>
            <w:r>
              <w:rPr>
                <w:rFonts w:ascii="Calibri" w:hAnsi="Calibri" w:eastAsia="Calibri"/>
                <w:b/>
                <w:color w:val="8A6600"/>
                <w:sz w:val="17"/>
              </w:rPr>
              <w:t xml:space="preserve">CATEGORY GUARD  </w:t>
            </w:r>
            <w:r>
              <w:rPr>
                <w:rFonts w:ascii="Calibri" w:hAnsi="Calibri" w:eastAsia="Calibri"/>
                <w:color w:val="0B2545"/>
                <w:sz w:val="20"/>
              </w:rPr>
              <w:t>Do not recast every problem as Passage. Activate a Passage Model only when changing possibility, engagement, consequence, or successor capacity can alter a declared Return. Other theories may be used directly; some tasks need no model at all.</w:t>
            </w:r>
          </w:p>
        </w:tc>
      </w:tr>
    </w:tbl>
    <w:p>
      <w:pPr>
        <w:spacing w:after="0"/>
      </w:pPr>
    </w:p>
    <w:p>
      <w:pPr>
        <w:pStyle w:val="Heading1"/>
      </w:pPr>
      <w:r>
        <w:t>5  Resource Account and Successor Signature</w:t>
      </w:r>
    </w:p>
    <w:p>
      <w:pPr>
        <w:pStyle w:val="Kicker"/>
        <w:keepNext/>
      </w:pPr>
      <w:r>
        <w:rPr>
          <w:rFonts w:ascii="Calibri" w:hAnsi="Calibri" w:eastAsia="Calibri"/>
          <w:color w:val="667085"/>
        </w:rPr>
        <w:t>Resources are roles; successors are vectors.</w:t>
      </w:r>
    </w:p>
    <w:tbl>
      <w:tblPr>
        <w:tblW w:type="dxa" w:w="9360"/>
        <w:tblLayout w:type="fixed"/>
        <w:tblLook w:firstColumn="1" w:firstRow="1" w:lastColumn="0" w:lastRow="0" w:noHBand="0" w:noVBand="1" w:val="04A0"/>
        <w:tblInd w:w="120" w:type="dxa"/>
        <w:tblBorders>
          <w:top w:val="single" w:sz="0" w:space="0" w:color="E8EEF5"/>
          <w:left w:val="single" w:sz="0" w:space="0" w:color="E8EEF5"/>
          <w:bottom w:val="single" w:sz="0" w:space="0" w:color="E8EEF5"/>
          <w:right w:val="single" w:sz="0" w:space="0" w:color="E8EEF5"/>
          <w:insideH w:val="single" w:sz="0" w:space="0" w:color="E8EEF5"/>
          <w:insideV w:val="single" w:sz="0" w:space="0" w:color="E8EEF5"/>
        </w:tblBorders>
      </w:tblPr>
      <w:tblGrid>
        <w:gridCol w:w="9360"/>
      </w:tblGrid>
      <w:tr>
        <w:trPr>
          <w:trHeight w:hRule="atLeast"/>
          <w:cantSplit w:val="true"/>
          <w:tblHeader w:val="true"/>
        </w:trPr>
        <w:tc>
          <w:tcPr>
            <w:tcW w:type="dxa" w:w="9360"/>
            <w:tcMar>
              <w:top w:w="80" w:type="dxa"/>
              <w:start w:w="120" w:type="dxa"/>
              <w:bottom w:w="80" w:type="dxa"/>
              <w:end w:w="120" w:type="dxa"/>
            </w:tcMar>
            <w:shd w:fill="E8EEF5" w:val="clear"/>
          </w:tcPr>
          <w:p>
            <w:pPr>
              <w:spacing w:before="20" w:after="20" w:line="276" w:lineRule="auto"/>
            </w:pPr>
            <w:r>
              <w:rPr>
                <w:rFonts w:ascii="Calibri" w:hAnsi="Calibri" w:eastAsia="Calibri"/>
                <w:b/>
                <w:color w:val="2E74B5"/>
                <w:sz w:val="17"/>
              </w:rPr>
              <w:t xml:space="preserve">RESOURCE RULE  </w:t>
            </w:r>
            <w:r>
              <w:rPr>
                <w:rFonts w:ascii="Calibri" w:hAnsi="Calibri" w:eastAsia="Calibri"/>
                <w:color w:val="0B2545"/>
                <w:sz w:val="20"/>
              </w:rPr>
              <w:t>A thing is not intrinsically a resource. Resource is a role relative to a Passage and Demand. A component is supported as a resource only when an admitted domain rule or counterfactual supports that changing it changes Passage qualification, capacity, cost, reliability, conversion, yield, successor evaluation, burden, or later Passage. Otherwise it remains a resource candidate, stock, capability, or constraint.</w:t>
            </w:r>
          </w:p>
        </w:tc>
      </w:tr>
    </w:tbl>
    <w:p>
      <w:pPr>
        <w:spacing w:after="0"/>
      </w:pPr>
    </w:p>
    <w:p>
      <w:pPr>
        <w:pStyle w:val="Heading2"/>
      </w:pPr>
      <w:r>
        <w:rPr>
          <w:rFonts w:ascii="Calibri" w:hAnsi="Calibri" w:eastAsia="Calibri"/>
        </w:rPr>
        <w:t>Resource roles</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2450"/>
        <w:gridCol w:w="6910"/>
      </w:tblGrid>
      <w:tr>
        <w:trPr>
          <w:trHeight w:hRule="atLeast"/>
          <w:cantSplit w:val="true"/>
          <w:tblHeader w:val="true"/>
        </w:trPr>
        <w:tc>
          <w:tcPr>
            <w:tcW w:type="dxa" w:w="245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Role</w:t>
            </w:r>
          </w:p>
        </w:tc>
        <w:tc>
          <w:tcPr>
            <w:tcW w:type="dxa" w:w="691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Function</w:t>
            </w:r>
          </w:p>
        </w:tc>
      </w:tr>
      <w:tr>
        <w:trPr>
          <w:cantSplit w:val="true"/>
        </w:trPr>
        <w:tc>
          <w:tcPr>
            <w:tcW w:type="dxa" w:w="2450"/>
            <w:vAlign w:val="center"/>
          </w:tcPr>
          <w:p>
            <w:pPr>
              <w:pStyle w:val="TableBody"/>
              <w:spacing w:before="0" w:after="0" w:line="252" w:lineRule="auto"/>
              <w:jc w:val="left"/>
            </w:pPr>
            <w:r>
              <w:rPr>
                <w:rFonts w:ascii="Calibri" w:hAnsi="Calibri" w:eastAsia="Calibri"/>
                <w:b w:val="0"/>
                <w:color w:val="111827"/>
                <w:sz w:val="16"/>
              </w:rPr>
              <w:t>payload or target</w:t>
            </w:r>
          </w:p>
        </w:tc>
        <w:tc>
          <w:tcPr>
            <w:tcW w:type="dxa" w:w="6910"/>
            <w:vAlign w:val="center"/>
          </w:tcPr>
          <w:p>
            <w:pPr>
              <w:pStyle w:val="TableBody"/>
              <w:spacing w:before="0" w:after="0" w:line="252" w:lineRule="auto"/>
              <w:jc w:val="left"/>
            </w:pPr>
            <w:r>
              <w:rPr>
                <w:rFonts w:ascii="Calibri" w:hAnsi="Calibri" w:eastAsia="Calibri"/>
                <w:b w:val="0"/>
                <w:color w:val="111827"/>
                <w:sz w:val="16"/>
              </w:rPr>
              <w:t>what the Passage is directed toward</w:t>
            </w:r>
          </w:p>
        </w:tc>
      </w:tr>
      <w:tr>
        <w:trPr>
          <w:cantSplit w:val="true"/>
        </w:trPr>
        <w:tc>
          <w:tcPr>
            <w:tcW w:type="dxa" w:w="2450"/>
            <w:vAlign w:val="center"/>
          </w:tcPr>
          <w:p>
            <w:pPr>
              <w:pStyle w:val="TableBody"/>
              <w:spacing w:before="0" w:after="0" w:line="252" w:lineRule="auto"/>
              <w:jc w:val="left"/>
            </w:pPr>
            <w:r>
              <w:rPr>
                <w:rFonts w:ascii="Calibri" w:hAnsi="Calibri" w:eastAsia="Calibri"/>
                <w:b w:val="0"/>
                <w:color w:val="111827"/>
                <w:sz w:val="16"/>
              </w:rPr>
              <w:t>support</w:t>
            </w:r>
          </w:p>
        </w:tc>
        <w:tc>
          <w:tcPr>
            <w:tcW w:type="dxa" w:w="6910"/>
            <w:vAlign w:val="center"/>
          </w:tcPr>
          <w:p>
            <w:pPr>
              <w:pStyle w:val="TableBody"/>
              <w:spacing w:before="0" w:after="0" w:line="252" w:lineRule="auto"/>
              <w:jc w:val="left"/>
            </w:pPr>
            <w:r>
              <w:rPr>
                <w:rFonts w:ascii="Calibri" w:hAnsi="Calibri" w:eastAsia="Calibri"/>
                <w:b w:val="0"/>
                <w:color w:val="111827"/>
                <w:sz w:val="16"/>
              </w:rPr>
              <w:t>stabilizes or enables</w:t>
            </w:r>
          </w:p>
        </w:tc>
      </w:tr>
      <w:tr>
        <w:trPr>
          <w:cantSplit w:val="true"/>
        </w:trPr>
        <w:tc>
          <w:tcPr>
            <w:tcW w:type="dxa" w:w="2450"/>
            <w:vAlign w:val="center"/>
          </w:tcPr>
          <w:p>
            <w:pPr>
              <w:pStyle w:val="TableBody"/>
              <w:spacing w:before="0" w:after="0" w:line="252" w:lineRule="auto"/>
              <w:jc w:val="left"/>
            </w:pPr>
            <w:r>
              <w:rPr>
                <w:rFonts w:ascii="Calibri" w:hAnsi="Calibri" w:eastAsia="Calibri"/>
                <w:b w:val="0"/>
                <w:color w:val="111827"/>
                <w:sz w:val="16"/>
              </w:rPr>
              <w:t>input or fuel</w:t>
            </w:r>
          </w:p>
        </w:tc>
        <w:tc>
          <w:tcPr>
            <w:tcW w:type="dxa" w:w="6910"/>
            <w:vAlign w:val="center"/>
          </w:tcPr>
          <w:p>
            <w:pPr>
              <w:pStyle w:val="TableBody"/>
              <w:spacing w:before="0" w:after="0" w:line="252" w:lineRule="auto"/>
              <w:jc w:val="left"/>
            </w:pPr>
            <w:r>
              <w:rPr>
                <w:rFonts w:ascii="Calibri" w:hAnsi="Calibri" w:eastAsia="Calibri"/>
                <w:b w:val="0"/>
                <w:color w:val="111827"/>
                <w:sz w:val="16"/>
              </w:rPr>
              <w:t>is consumed or transformed</w:t>
            </w:r>
          </w:p>
        </w:tc>
      </w:tr>
      <w:tr>
        <w:trPr>
          <w:cantSplit w:val="true"/>
        </w:trPr>
        <w:tc>
          <w:tcPr>
            <w:tcW w:type="dxa" w:w="2450"/>
            <w:vAlign w:val="center"/>
          </w:tcPr>
          <w:p>
            <w:pPr>
              <w:pStyle w:val="TableBody"/>
              <w:spacing w:before="0" w:after="0" w:line="252" w:lineRule="auto"/>
              <w:jc w:val="left"/>
            </w:pPr>
            <w:r>
              <w:rPr>
                <w:rFonts w:ascii="Calibri" w:hAnsi="Calibri" w:eastAsia="Calibri"/>
                <w:b w:val="0"/>
                <w:color w:val="111827"/>
                <w:sz w:val="16"/>
              </w:rPr>
              <w:t>buffer or reserve</w:t>
            </w:r>
          </w:p>
        </w:tc>
        <w:tc>
          <w:tcPr>
            <w:tcW w:type="dxa" w:w="6910"/>
            <w:vAlign w:val="center"/>
          </w:tcPr>
          <w:p>
            <w:pPr>
              <w:pStyle w:val="TableBody"/>
              <w:spacing w:before="0" w:after="0" w:line="252" w:lineRule="auto"/>
              <w:jc w:val="left"/>
            </w:pPr>
            <w:r>
              <w:rPr>
                <w:rFonts w:ascii="Calibri" w:hAnsi="Calibri" w:eastAsia="Calibri"/>
                <w:b w:val="0"/>
                <w:color w:val="111827"/>
                <w:sz w:val="16"/>
              </w:rPr>
              <w:t>absorbs variation or preserves options</w:t>
            </w:r>
          </w:p>
        </w:tc>
      </w:tr>
      <w:tr>
        <w:trPr>
          <w:cantSplit w:val="true"/>
        </w:trPr>
        <w:tc>
          <w:tcPr>
            <w:tcW w:type="dxa" w:w="2450"/>
            <w:vAlign w:val="center"/>
          </w:tcPr>
          <w:p>
            <w:pPr>
              <w:pStyle w:val="TableBody"/>
              <w:spacing w:before="0" w:after="0" w:line="252" w:lineRule="auto"/>
              <w:jc w:val="left"/>
            </w:pPr>
            <w:r>
              <w:rPr>
                <w:rFonts w:ascii="Calibri" w:hAnsi="Calibri" w:eastAsia="Calibri"/>
                <w:b w:val="0"/>
                <w:color w:val="111827"/>
                <w:sz w:val="16"/>
              </w:rPr>
              <w:t>tool or catalyst</w:t>
            </w:r>
          </w:p>
        </w:tc>
        <w:tc>
          <w:tcPr>
            <w:tcW w:type="dxa" w:w="6910"/>
            <w:vAlign w:val="center"/>
          </w:tcPr>
          <w:p>
            <w:pPr>
              <w:pStyle w:val="TableBody"/>
              <w:spacing w:before="0" w:after="0" w:line="252" w:lineRule="auto"/>
              <w:jc w:val="left"/>
            </w:pPr>
            <w:r>
              <w:rPr>
                <w:rFonts w:ascii="Calibri" w:hAnsi="Calibri" w:eastAsia="Calibri"/>
                <w:b w:val="0"/>
                <w:color w:val="111827"/>
                <w:sz w:val="16"/>
              </w:rPr>
              <w:t>changes capability or conversion</w:t>
            </w:r>
          </w:p>
        </w:tc>
      </w:tr>
      <w:tr>
        <w:trPr>
          <w:cantSplit w:val="true"/>
        </w:trPr>
        <w:tc>
          <w:tcPr>
            <w:tcW w:type="dxa" w:w="2450"/>
            <w:vAlign w:val="center"/>
          </w:tcPr>
          <w:p>
            <w:pPr>
              <w:pStyle w:val="TableBody"/>
              <w:spacing w:before="0" w:after="0" w:line="252" w:lineRule="auto"/>
              <w:jc w:val="left"/>
            </w:pPr>
            <w:r>
              <w:rPr>
                <w:rFonts w:ascii="Calibri" w:hAnsi="Calibri" w:eastAsia="Calibri"/>
                <w:b w:val="0"/>
                <w:color w:val="111827"/>
                <w:sz w:val="16"/>
              </w:rPr>
              <w:t>carrier</w:t>
            </w:r>
          </w:p>
        </w:tc>
        <w:tc>
          <w:tcPr>
            <w:tcW w:type="dxa" w:w="6910"/>
            <w:vAlign w:val="center"/>
          </w:tcPr>
          <w:p>
            <w:pPr>
              <w:pStyle w:val="TableBody"/>
              <w:spacing w:before="0" w:after="0" w:line="252" w:lineRule="auto"/>
              <w:jc w:val="left"/>
            </w:pPr>
            <w:r>
              <w:rPr>
                <w:rFonts w:ascii="Calibri" w:hAnsi="Calibri" w:eastAsia="Calibri"/>
                <w:b w:val="0"/>
                <w:color w:val="111827"/>
                <w:sz w:val="16"/>
              </w:rPr>
              <w:t>holds or conveys passage</w:t>
            </w:r>
          </w:p>
        </w:tc>
      </w:tr>
      <w:tr>
        <w:trPr>
          <w:cantSplit w:val="true"/>
        </w:trPr>
        <w:tc>
          <w:tcPr>
            <w:tcW w:type="dxa" w:w="2450"/>
            <w:vAlign w:val="center"/>
          </w:tcPr>
          <w:p>
            <w:pPr>
              <w:pStyle w:val="TableBody"/>
              <w:spacing w:before="0" w:after="0" w:line="252" w:lineRule="auto"/>
              <w:jc w:val="left"/>
            </w:pPr>
            <w:r>
              <w:rPr>
                <w:rFonts w:ascii="Calibri" w:hAnsi="Calibri" w:eastAsia="Calibri"/>
                <w:b w:val="0"/>
                <w:color w:val="111827"/>
                <w:sz w:val="16"/>
              </w:rPr>
              <w:t>substrate or site</w:t>
            </w:r>
          </w:p>
        </w:tc>
        <w:tc>
          <w:tcPr>
            <w:tcW w:type="dxa" w:w="6910"/>
            <w:vAlign w:val="center"/>
          </w:tcPr>
          <w:p>
            <w:pPr>
              <w:pStyle w:val="TableBody"/>
              <w:spacing w:before="0" w:after="0" w:line="252" w:lineRule="auto"/>
              <w:jc w:val="left"/>
            </w:pPr>
            <w:r>
              <w:rPr>
                <w:rFonts w:ascii="Calibri" w:hAnsi="Calibri" w:eastAsia="Calibri"/>
                <w:b w:val="0"/>
                <w:color w:val="111827"/>
                <w:sz w:val="16"/>
              </w:rPr>
              <w:t>provides the condition or location</w:t>
            </w:r>
          </w:p>
        </w:tc>
      </w:tr>
      <w:tr>
        <w:trPr>
          <w:cantSplit w:val="true"/>
        </w:trPr>
        <w:tc>
          <w:tcPr>
            <w:tcW w:type="dxa" w:w="2450"/>
            <w:vAlign w:val="center"/>
          </w:tcPr>
          <w:p>
            <w:pPr>
              <w:pStyle w:val="TableBody"/>
              <w:spacing w:before="0" w:after="0" w:line="252" w:lineRule="auto"/>
              <w:jc w:val="left"/>
            </w:pPr>
            <w:r>
              <w:rPr>
                <w:rFonts w:ascii="Calibri" w:hAnsi="Calibri" w:eastAsia="Calibri"/>
                <w:b w:val="0"/>
                <w:color w:val="111827"/>
                <w:sz w:val="16"/>
              </w:rPr>
              <w:t>output or yield</w:t>
            </w:r>
          </w:p>
        </w:tc>
        <w:tc>
          <w:tcPr>
            <w:tcW w:type="dxa" w:w="6910"/>
            <w:vAlign w:val="center"/>
          </w:tcPr>
          <w:p>
            <w:pPr>
              <w:pStyle w:val="TableBody"/>
              <w:spacing w:before="0" w:after="0" w:line="252" w:lineRule="auto"/>
              <w:jc w:val="left"/>
            </w:pPr>
            <w:r>
              <w:rPr>
                <w:rFonts w:ascii="Calibri" w:hAnsi="Calibri" w:eastAsia="Calibri"/>
                <w:b w:val="0"/>
                <w:color w:val="111827"/>
                <w:sz w:val="16"/>
              </w:rPr>
              <w:t>produced usable return</w:t>
            </w:r>
          </w:p>
        </w:tc>
      </w:tr>
      <w:tr>
        <w:trPr>
          <w:cantSplit w:val="true"/>
        </w:trPr>
        <w:tc>
          <w:tcPr>
            <w:tcW w:type="dxa" w:w="2450"/>
            <w:vAlign w:val="center"/>
          </w:tcPr>
          <w:p>
            <w:pPr>
              <w:pStyle w:val="TableBody"/>
              <w:spacing w:before="0" w:after="0" w:line="252" w:lineRule="auto"/>
              <w:jc w:val="left"/>
            </w:pPr>
            <w:r>
              <w:rPr>
                <w:rFonts w:ascii="Calibri" w:hAnsi="Calibri" w:eastAsia="Calibri"/>
                <w:b w:val="0"/>
                <w:color w:val="111827"/>
                <w:sz w:val="16"/>
              </w:rPr>
              <w:t>inheritance or option</w:t>
            </w:r>
          </w:p>
        </w:tc>
        <w:tc>
          <w:tcPr>
            <w:tcW w:type="dxa" w:w="6910"/>
            <w:vAlign w:val="center"/>
          </w:tcPr>
          <w:p>
            <w:pPr>
              <w:pStyle w:val="TableBody"/>
              <w:spacing w:before="0" w:after="0" w:line="252" w:lineRule="auto"/>
              <w:jc w:val="left"/>
            </w:pPr>
            <w:r>
              <w:rPr>
                <w:rFonts w:ascii="Calibri" w:hAnsi="Calibri" w:eastAsia="Calibri"/>
                <w:b w:val="0"/>
                <w:color w:val="111827"/>
                <w:sz w:val="16"/>
              </w:rPr>
              <w:t>preserves later capability</w:t>
            </w:r>
          </w:p>
        </w:tc>
      </w:tr>
      <w:tr>
        <w:trPr>
          <w:cantSplit w:val="true"/>
        </w:trPr>
        <w:tc>
          <w:tcPr>
            <w:tcW w:type="dxa" w:w="2450"/>
            <w:vAlign w:val="center"/>
          </w:tcPr>
          <w:p>
            <w:pPr>
              <w:pStyle w:val="TableBody"/>
              <w:spacing w:before="0" w:after="0" w:line="252" w:lineRule="auto"/>
              <w:jc w:val="left"/>
            </w:pPr>
            <w:r>
              <w:rPr>
                <w:rFonts w:ascii="Calibri" w:hAnsi="Calibri" w:eastAsia="Calibri"/>
                <w:b w:val="0"/>
                <w:color w:val="111827"/>
                <w:sz w:val="16"/>
              </w:rPr>
              <w:t>residue burden or liability</w:t>
            </w:r>
          </w:p>
        </w:tc>
        <w:tc>
          <w:tcPr>
            <w:tcW w:type="dxa" w:w="6910"/>
            <w:vAlign w:val="center"/>
          </w:tcPr>
          <w:p>
            <w:pPr>
              <w:pStyle w:val="TableBody"/>
              <w:spacing w:before="0" w:after="0" w:line="252" w:lineRule="auto"/>
              <w:jc w:val="left"/>
            </w:pPr>
            <w:r>
              <w:rPr>
                <w:rFonts w:ascii="Calibri" w:hAnsi="Calibri" w:eastAsia="Calibri"/>
                <w:b w:val="0"/>
                <w:color w:val="111827"/>
                <w:sz w:val="16"/>
              </w:rPr>
              <w:t>remains, constrains, or harms</w:t>
            </w:r>
          </w:p>
        </w:tc>
      </w:tr>
    </w:tbl>
    <w:p>
      <w:pPr>
        <w:spacing w:after="0"/>
      </w:pPr>
    </w:p>
    <w:p>
      <w:pPr>
        <w:pStyle w:val="Definition"/>
      </w:pPr>
      <w:r>
        <w:rPr>
          <w:rFonts w:ascii="Calibri" w:hAnsi="Calibri" w:eastAsia="Calibri"/>
        </w:rPr>
        <w:t>One occurrence may have several roles or change roles across a boundary. Record the role change; do not count it as a new occurrence automatically.</w:t>
      </w:r>
    </w:p>
    <w:p>
      <w:pPr>
        <w:pStyle w:val="Heading2"/>
      </w:pPr>
      <w:r>
        <w:rPr>
          <w:rFonts w:ascii="Calibri" w:hAnsi="Calibri" w:eastAsia="Calibri"/>
        </w:rPr>
        <w:t>Diagnostic gates</w:t>
      </w:r>
    </w:p>
    <w:p>
      <w:pPr>
        <w:pStyle w:val="Lead"/>
        <w:jc w:val="center"/>
      </w:pPr>
      <w:r>
        <w:rPr>
          <w:rFonts w:ascii="Calibri" w:hAnsi="Calibri" w:eastAsia="Calibri"/>
          <w:color w:val="0B2545"/>
        </w:rPr>
        <w:t>exists → detected or represented → reachable → accessible → controllable → permitted → mobilizable or extractable → processable or convertible → deliverable → usable → yield producing</w:t>
      </w:r>
    </w:p>
    <w:tbl>
      <w:tblPr>
        <w:tblW w:type="dxa" w:w="9360"/>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trHeight w:hRule="atLeast"/>
          <w:cantSplit w:val="true"/>
          <w:tblHeader w:val="true"/>
        </w:trPr>
        <w:tc>
          <w:tcPr>
            <w:tcW w:type="dxa" w:w="9360"/>
            <w:tcMar>
              <w:top w:w="80" w:type="dxa"/>
              <w:start w:w="120" w:type="dxa"/>
              <w:bottom w:w="80" w:type="dxa"/>
              <w:end w:w="120" w:type="dxa"/>
            </w:tcMar>
            <w:shd w:fill="F4F6F9" w:val="clear"/>
          </w:tcPr>
          <w:p>
            <w:pPr>
              <w:spacing w:before="20" w:after="20" w:line="276" w:lineRule="auto"/>
            </w:pPr>
            <w:r>
              <w:rPr>
                <w:rFonts w:ascii="Calibri" w:hAnsi="Calibri" w:eastAsia="Calibri"/>
                <w:b/>
                <w:color w:val="2E74B5"/>
                <w:sz w:val="17"/>
              </w:rPr>
              <w:t xml:space="preserve">GATE BOUNDARY  </w:t>
            </w:r>
            <w:r>
              <w:rPr>
                <w:rFonts w:ascii="Calibri" w:hAnsi="Calibri" w:eastAsia="Calibri"/>
                <w:color w:val="0B2545"/>
                <w:sz w:val="20"/>
              </w:rPr>
              <w:t>The gates are separable diagnostics, not a universal natural order. Permission and control may occur in different orders, and a domain may omit gates.</w:t>
            </w:r>
          </w:p>
        </w:tc>
      </w:tr>
    </w:tbl>
    <w:p>
      <w:pPr>
        <w:spacing w:after="0"/>
      </w:pPr>
    </w:p>
    <w:p>
      <w:pPr>
        <w:pStyle w:val="Definition"/>
      </w:pPr>
      <w:r>
        <w:rPr>
          <w:rFonts w:ascii="Calibri" w:hAnsi="Calibri" w:eastAsia="Calibri"/>
        </w:rPr>
        <w:t>Stock is not resource; resource is not reachable stock; reachable stock is not accessible stock; accessible stock is not recoverable stock; recoverable stock is not usable yield.</w:t>
      </w:r>
    </w:p>
    <w:p>
      <w:pPr>
        <w:pStyle w:val="Heading2"/>
      </w:pPr>
      <w:r>
        <w:rPr>
          <w:rFonts w:ascii="Calibri" w:hAnsi="Calibri" w:eastAsia="Calibri"/>
        </w:rPr>
        <w:t>Resource Account fields</w:t>
      </w:r>
    </w:p>
    <w:p>
      <w:pPr>
        <w:pStyle w:val="ListBullet"/>
        <w:keepNext/>
      </w:pPr>
      <w:r>
        <w:rPr>
          <w:rFonts w:ascii="Calibri" w:hAnsi="Calibri" w:eastAsia="Calibri"/>
        </w:rPr>
        <w:t>occurrence identity, type, quantity, unit, quality, and location</w:t>
      </w:r>
    </w:p>
    <w:p>
      <w:pPr>
        <w:pStyle w:val="ListBullet"/>
        <w:keepNext/>
      </w:pPr>
      <w:r>
        <w:rPr>
          <w:rFonts w:ascii="Calibri" w:hAnsi="Calibri" w:eastAsia="Calibri"/>
        </w:rPr>
        <w:t>role by Passage and Demand</w:t>
      </w:r>
    </w:p>
    <w:p>
      <w:pPr>
        <w:pStyle w:val="ListBullet"/>
        <w:keepNext/>
      </w:pPr>
      <w:r>
        <w:rPr>
          <w:rFonts w:ascii="Calibri" w:hAnsi="Calibri" w:eastAsia="Calibri"/>
        </w:rPr>
        <w:t>holder, controller, claimant, and authority</w:t>
      </w:r>
    </w:p>
    <w:p>
      <w:pPr>
        <w:pStyle w:val="ListBullet"/>
        <w:keepNext/>
      </w:pPr>
      <w:r>
        <w:rPr>
          <w:rFonts w:ascii="Calibri" w:hAnsi="Calibri" w:eastAsia="Calibri"/>
        </w:rPr>
        <w:t>current gates and exact blockers</w:t>
      </w:r>
    </w:p>
    <w:p>
      <w:pPr>
        <w:pStyle w:val="ListBullet"/>
        <w:keepNext/>
      </w:pPr>
      <w:r>
        <w:rPr>
          <w:rFonts w:ascii="Calibri" w:hAnsi="Calibri" w:eastAsia="Calibri"/>
        </w:rPr>
        <w:t>rate, capacity, latency, reliability, and expiry</w:t>
      </w:r>
    </w:p>
    <w:p>
      <w:pPr>
        <w:pStyle w:val="ListBullet"/>
        <w:keepNext/>
      </w:pPr>
      <w:r>
        <w:rPr>
          <w:rFonts w:ascii="Calibri" w:hAnsi="Calibri" w:eastAsia="Calibri"/>
        </w:rPr>
        <w:t>inputs, conversion, yield, loss, and residual</w:t>
      </w:r>
    </w:p>
    <w:p>
      <w:pPr>
        <w:pStyle w:val="ListBullet"/>
        <w:keepNext/>
      </w:pPr>
      <w:r>
        <w:rPr>
          <w:rFonts w:ascii="Calibri" w:hAnsi="Calibri" w:eastAsia="Calibri"/>
        </w:rPr>
        <w:t>renewal, depletion, substitution, and reversibility</w:t>
      </w:r>
    </w:p>
    <w:p>
      <w:pPr>
        <w:pStyle w:val="ListBullet"/>
        <w:keepNext/>
      </w:pPr>
      <w:r>
        <w:rPr>
          <w:rFonts w:ascii="Calibri" w:hAnsi="Calibri" w:eastAsia="Calibri"/>
        </w:rPr>
        <w:t>burden, liability, risk, and externalized consequence</w:t>
      </w:r>
    </w:p>
    <w:p>
      <w:pPr>
        <w:pStyle w:val="ListBullet"/>
      </w:pPr>
      <w:r>
        <w:rPr>
          <w:rFonts w:ascii="Calibri" w:hAnsi="Calibri" w:eastAsia="Calibri"/>
        </w:rPr>
        <w:t>Basis, uncertainty, horizon, and status</w:t>
      </w:r>
    </w:p>
    <w:p>
      <w:pPr>
        <w:pStyle w:val="Heading2"/>
      </w:pPr>
      <w:r>
        <w:rPr>
          <w:rFonts w:ascii="Calibri" w:hAnsi="Calibri" w:eastAsia="Calibri"/>
        </w:rPr>
        <w:t>Successor Signature</w:t>
      </w:r>
    </w:p>
    <w:p>
      <w:r>
        <w:rPr>
          <w:rFonts w:ascii="Calibri" w:hAnsi="Calibri" w:eastAsia="Calibri"/>
        </w:rPr>
        <w:t>Replace the scalar language of more or less Passage with a typed account of what the successor opens, closes, preserves, redirects, redistributes, captures, consumes, and can form next.</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900"/>
        <w:gridCol w:w="7460"/>
      </w:tblGrid>
      <w:tr>
        <w:trPr>
          <w:trHeight w:hRule="atLeast"/>
          <w:cantSplit w:val="true"/>
          <w:tblHeader w:val="true"/>
        </w:trPr>
        <w:tc>
          <w:tcPr>
            <w:tcW w:type="dxa" w:w="190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Dimension</w:t>
            </w:r>
          </w:p>
        </w:tc>
        <w:tc>
          <w:tcPr>
            <w:tcW w:type="dxa" w:w="7460"/>
            <w:tcMar>
              <w:top w:w="80" w:type="dxa"/>
              <w:start w:w="120" w:type="dxa"/>
              <w:bottom w:w="80" w:type="dxa"/>
              <w:end w:w="120" w:type="dxa"/>
            </w:tcMar>
            <w:shd w:fill="E8EEF5" w:val="clear"/>
            <w:vAlign w:val="center"/>
          </w:tcPr>
          <w:p>
            <w:pPr>
              <w:pStyle w:val="TableBody"/>
              <w:spacing w:before="0" w:after="0" w:line="252" w:lineRule="auto"/>
              <w:jc w:val="left"/>
            </w:pPr>
            <w:r>
              <w:rPr>
                <w:rFonts w:ascii="Calibri" w:hAnsi="Calibri" w:eastAsia="Calibri"/>
                <w:b/>
                <w:color w:val="0B2545"/>
                <w:sz w:val="16"/>
              </w:rPr>
              <w:t>Values retained</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Passage delta</w:t>
            </w:r>
          </w:p>
        </w:tc>
        <w:tc>
          <w:tcPr>
            <w:tcW w:type="dxa" w:w="7460"/>
            <w:vAlign w:val="center"/>
          </w:tcPr>
          <w:p>
            <w:pPr>
              <w:pStyle w:val="TableBody"/>
              <w:spacing w:before="0" w:after="0" w:line="252" w:lineRule="auto"/>
              <w:jc w:val="left"/>
            </w:pPr>
            <w:r>
              <w:rPr>
                <w:rFonts w:ascii="Calibri" w:hAnsi="Calibri" w:eastAsia="Calibri"/>
                <w:b w:val="0"/>
                <w:color w:val="111827"/>
                <w:sz w:val="16"/>
              </w:rPr>
              <w:t>opened, closed, preserved, redirected, unknown, incomparable</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distribution</w:t>
            </w:r>
          </w:p>
        </w:tc>
        <w:tc>
          <w:tcPr>
            <w:tcW w:type="dxa" w:w="7460"/>
            <w:vAlign w:val="center"/>
          </w:tcPr>
          <w:p>
            <w:pPr>
              <w:pStyle w:val="TableBody"/>
              <w:spacing w:before="0" w:after="0" w:line="252" w:lineRule="auto"/>
              <w:jc w:val="left"/>
            </w:pPr>
            <w:r>
              <w:rPr>
                <w:rFonts w:ascii="Calibri" w:hAnsi="Calibri" w:eastAsia="Calibri"/>
                <w:b w:val="0"/>
                <w:color w:val="111827"/>
                <w:sz w:val="16"/>
              </w:rPr>
              <w:t>expansion, contraction, redistribution, capture, exclusion_by_bearer_or_role</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structure</w:t>
            </w:r>
          </w:p>
        </w:tc>
        <w:tc>
          <w:tcPr>
            <w:tcW w:type="dxa" w:w="7460"/>
            <w:vAlign w:val="center"/>
          </w:tcPr>
          <w:p>
            <w:pPr>
              <w:pStyle w:val="TableBody"/>
              <w:spacing w:before="0" w:after="0" w:line="252" w:lineRule="auto"/>
              <w:jc w:val="left"/>
            </w:pPr>
            <w:r>
              <w:rPr>
                <w:rFonts w:ascii="Calibri" w:hAnsi="Calibri" w:eastAsia="Calibri"/>
                <w:b w:val="0"/>
                <w:color w:val="111827"/>
                <w:sz w:val="16"/>
              </w:rPr>
              <w:t>plurality, diversity, redundancy, independence, concentration, coupling</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control</w:t>
            </w:r>
          </w:p>
        </w:tc>
        <w:tc>
          <w:tcPr>
            <w:tcW w:type="dxa" w:w="7460"/>
            <w:vAlign w:val="center"/>
          </w:tcPr>
          <w:p>
            <w:pPr>
              <w:pStyle w:val="TableBody"/>
              <w:spacing w:before="0" w:after="0" w:line="252" w:lineRule="auto"/>
              <w:jc w:val="left"/>
            </w:pPr>
            <w:r>
              <w:rPr>
                <w:rFonts w:ascii="Calibri" w:hAnsi="Calibri" w:eastAsia="Calibri"/>
                <w:b w:val="0"/>
                <w:color w:val="111827"/>
                <w:sz w:val="16"/>
              </w:rPr>
              <w:t>authority, switching, exits, lock_in, substitution</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operation</w:t>
            </w:r>
          </w:p>
        </w:tc>
        <w:tc>
          <w:tcPr>
            <w:tcW w:type="dxa" w:w="7460"/>
            <w:vAlign w:val="center"/>
          </w:tcPr>
          <w:p>
            <w:pPr>
              <w:pStyle w:val="TableBody"/>
              <w:spacing w:before="0" w:after="0" w:line="252" w:lineRule="auto"/>
              <w:jc w:val="left"/>
            </w:pPr>
            <w:r>
              <w:rPr>
                <w:rFonts w:ascii="Calibri" w:hAnsi="Calibri" w:eastAsia="Calibri"/>
                <w:b w:val="0"/>
                <w:color w:val="111827"/>
                <w:sz w:val="16"/>
              </w:rPr>
              <w:t>capacity, cost, latency, reliability, coverage, failure_modes</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resources</w:t>
            </w:r>
          </w:p>
        </w:tc>
        <w:tc>
          <w:tcPr>
            <w:tcW w:type="dxa" w:w="7460"/>
            <w:vAlign w:val="center"/>
          </w:tcPr>
          <w:p>
            <w:pPr>
              <w:pStyle w:val="TableBody"/>
              <w:spacing w:before="0" w:after="0" w:line="252" w:lineRule="auto"/>
              <w:jc w:val="left"/>
            </w:pPr>
            <w:r>
              <w:rPr>
                <w:rFonts w:ascii="Calibri" w:hAnsi="Calibri" w:eastAsia="Calibri"/>
                <w:b w:val="0"/>
                <w:color w:val="111827"/>
                <w:sz w:val="16"/>
              </w:rPr>
              <w:t>stock, access, conversion, yield, depletion, burden, residue</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formation</w:t>
            </w:r>
          </w:p>
        </w:tc>
        <w:tc>
          <w:tcPr>
            <w:tcW w:type="dxa" w:w="7460"/>
            <w:vAlign w:val="center"/>
          </w:tcPr>
          <w:p>
            <w:pPr>
              <w:pStyle w:val="TableBody"/>
              <w:spacing w:before="0" w:after="0" w:line="252" w:lineRule="auto"/>
              <w:jc w:val="left"/>
            </w:pPr>
            <w:r>
              <w:rPr>
                <w:rFonts w:ascii="Calibri" w:hAnsi="Calibri" w:eastAsia="Calibri"/>
                <w:b w:val="0"/>
                <w:color w:val="111827"/>
                <w:sz w:val="16"/>
              </w:rPr>
              <w:t>maintenance, repair, replacement, diversification, integration, creation</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time</w:t>
            </w:r>
          </w:p>
        </w:tc>
        <w:tc>
          <w:tcPr>
            <w:tcW w:type="dxa" w:w="7460"/>
            <w:vAlign w:val="center"/>
          </w:tcPr>
          <w:p>
            <w:pPr>
              <w:pStyle w:val="TableBody"/>
              <w:spacing w:before="0" w:after="0" w:line="252" w:lineRule="auto"/>
              <w:jc w:val="left"/>
            </w:pPr>
            <w:r>
              <w:rPr>
                <w:rFonts w:ascii="Calibri" w:hAnsi="Calibri" w:eastAsia="Calibri"/>
                <w:b w:val="0"/>
                <w:color w:val="111827"/>
                <w:sz w:val="16"/>
              </w:rPr>
              <w:t>onset, horizon, durability, reversibility, delayed_consequences</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support</w:t>
            </w:r>
          </w:p>
        </w:tc>
        <w:tc>
          <w:tcPr>
            <w:tcW w:type="dxa" w:w="7460"/>
            <w:vAlign w:val="center"/>
          </w:tcPr>
          <w:p>
            <w:pPr>
              <w:pStyle w:val="TableBody"/>
              <w:spacing w:before="0" w:after="0" w:line="252" w:lineRule="auto"/>
              <w:jc w:val="left"/>
            </w:pPr>
            <w:r>
              <w:rPr>
                <w:rFonts w:ascii="Calibri" w:hAnsi="Calibri" w:eastAsia="Calibri"/>
                <w:b w:val="0"/>
                <w:color w:val="111827"/>
                <w:sz w:val="16"/>
              </w:rPr>
              <w:t>model, Basis, uncertainty, omitted_branches, comparison_relation</w:t>
            </w:r>
          </w:p>
        </w:tc>
      </w:tr>
    </w:tbl>
    <w:p>
      <w:pPr>
        <w:spacing w:after="0"/>
      </w:pPr>
    </w:p>
    <w:tbl>
      <w:tblPr>
        <w:tblW w:type="dxa" w:w="9360"/>
        <w:tblLayout w:type="fixed"/>
        <w:tblLook w:firstColumn="1" w:firstRow="1" w:lastColumn="0" w:lastRow="0" w:noHBand="0" w:noVBand="1" w:val="04A0"/>
        <w:tblInd w:w="120" w:type="dxa"/>
        <w:tblBorders>
          <w:top w:val="single" w:sz="0" w:space="0" w:color="E8EEF5"/>
          <w:left w:val="single" w:sz="0" w:space="0" w:color="E8EEF5"/>
          <w:bottom w:val="single" w:sz="0" w:space="0" w:color="E8EEF5"/>
          <w:right w:val="single" w:sz="0" w:space="0" w:color="E8EEF5"/>
          <w:insideH w:val="single" w:sz="0" w:space="0" w:color="E8EEF5"/>
          <w:insideV w:val="single" w:sz="0" w:space="0" w:color="E8EEF5"/>
        </w:tblBorders>
      </w:tblPr>
      <w:tblGrid>
        <w:gridCol w:w="9360"/>
      </w:tblGrid>
      <w:tr>
        <w:trPr>
          <w:trHeight w:hRule="atLeast"/>
          <w:cantSplit w:val="true"/>
          <w:tblHeader w:val="true"/>
        </w:trPr>
        <w:tc>
          <w:tcPr>
            <w:tcW w:type="dxa" w:w="9360"/>
            <w:tcMar>
              <w:top w:w="80" w:type="dxa"/>
              <w:start w:w="120" w:type="dxa"/>
              <w:bottom w:w="80" w:type="dxa"/>
              <w:end w:w="120" w:type="dxa"/>
            </w:tcMar>
            <w:shd w:fill="E8EEF5" w:val="clear"/>
          </w:tcPr>
          <w:p>
            <w:pPr>
              <w:spacing w:before="20" w:after="20" w:line="276" w:lineRule="auto"/>
            </w:pPr>
            <w:r>
              <w:rPr>
                <w:rFonts w:ascii="Calibri" w:hAnsi="Calibri" w:eastAsia="Calibri"/>
                <w:b/>
                <w:color w:val="2E74B5"/>
                <w:sz w:val="17"/>
              </w:rPr>
              <w:t xml:space="preserve">NO FORCED WINNER  </w:t>
            </w:r>
            <w:r>
              <w:rPr>
                <w:rFonts w:ascii="Calibri" w:hAnsi="Calibri" w:eastAsia="Calibri"/>
                <w:color w:val="0B2545"/>
                <w:sz w:val="20"/>
              </w:rPr>
              <w:t>Preserve vectors, partial orders, Pareto regions, role winners, and INCOMPARABLE. Aggregate only under a Demand-supplied decision rule. Recovery restores some prior function or Passage. Regeneration improves or renews formation capacity Psi.</w:t>
            </w:r>
          </w:p>
        </w:tc>
      </w:tr>
    </w:tbl>
    <w:p>
      <w:pPr>
        <w:spacing w:after="0"/>
      </w:pPr>
    </w:p>
    <w:p>
      <w:pPr>
        <w:pStyle w:val="Heading1"/>
      </w:pPr>
      <w:r>
        <w:t>6  Formation Firewall</w:t>
      </w:r>
    </w:p>
    <w:p>
      <w:pPr>
        <w:pStyle w:val="Kicker"/>
        <w:keepNext/>
      </w:pPr>
      <w:r>
        <w:rPr>
          <w:rFonts w:ascii="Calibri" w:hAnsi="Calibri" w:eastAsia="Calibri"/>
          <w:color w:val="667085"/>
        </w:rPr>
        <w:t>Generate before the architecture teaches the generator what to see.</w:t>
      </w:r>
    </w:p>
    <w:tbl>
      <w:tblPr>
        <w:tblW w:type="dxa" w:w="9360"/>
        <w:tblLayout w:type="fixed"/>
        <w:tblLook w:firstColumn="1" w:firstRow="1" w:lastColumn="0" w:lastRow="0" w:noHBand="0" w:noVBand="1" w:val="04A0"/>
        <w:tblInd w:w="120" w:type="dxa"/>
        <w:tblBorders>
          <w:top w:val="single" w:sz="0" w:space="0" w:color="E8EEF5"/>
          <w:left w:val="single" w:sz="0" w:space="0" w:color="E8EEF5"/>
          <w:bottom w:val="single" w:sz="0" w:space="0" w:color="E8EEF5"/>
          <w:right w:val="single" w:sz="0" w:space="0" w:color="E8EEF5"/>
          <w:insideH w:val="single" w:sz="0" w:space="0" w:color="E8EEF5"/>
          <w:insideV w:val="single" w:sz="0" w:space="0" w:color="E8EEF5"/>
        </w:tblBorders>
      </w:tblPr>
      <w:tblGrid>
        <w:gridCol w:w="9360"/>
      </w:tblGrid>
      <w:tr>
        <w:trPr>
          <w:trHeight w:hRule="atLeast"/>
          <w:cantSplit w:val="true"/>
          <w:tblHeader w:val="true"/>
        </w:trPr>
        <w:tc>
          <w:tcPr>
            <w:tcW w:type="dxa" w:w="9360"/>
            <w:tcMar>
              <w:top w:w="80" w:type="dxa"/>
              <w:start w:w="120" w:type="dxa"/>
              <w:bottom w:w="80" w:type="dxa"/>
              <w:end w:w="120" w:type="dxa"/>
            </w:tcMar>
            <w:shd w:fill="E8EEF5" w:val="clear"/>
          </w:tcPr>
          <w:p>
            <w:pPr>
              <w:spacing w:before="20" w:after="20" w:line="276" w:lineRule="auto"/>
            </w:pPr>
            <w:r>
              <w:rPr>
                <w:rFonts w:ascii="Calibri" w:hAnsi="Calibri" w:eastAsia="Calibri"/>
                <w:b/>
                <w:color w:val="2E74B5"/>
                <w:sz w:val="17"/>
              </w:rPr>
              <w:t xml:space="preserve">DEFAULT  </w:t>
            </w:r>
            <w:r>
              <w:rPr>
                <w:rFonts w:ascii="Calibri" w:hAnsi="Calibri" w:eastAsia="Calibri"/>
                <w:color w:val="0B2545"/>
                <w:sz w:val="20"/>
              </w:rPr>
              <w:t>The native formation branch receives the raw request, user-supplied Basis, unavoidable safety and policy constraints, declared tools, and requested output form. It receives no Architecture+ lexicon, Passage Theory vocabulary, architecture-generated interpretation, rival, expected answer, prior branch output, or old-project authority. Its context manifest and output are fingerprinted as P0 before structured analysis begins.</w:t>
            </w:r>
          </w:p>
        </w:tc>
      </w:tr>
    </w:tbl>
    <w:p>
      <w:pPr>
        <w:spacing w:after="0"/>
      </w:pPr>
    </w:p>
    <w:p>
      <w:r>
        <w:rPr>
          <w:rFonts w:ascii="Calibri" w:hAnsi="Calibri" w:eastAsia="Calibri"/>
        </w:rPr>
        <w:t>Native means unscaffolded by Architecture+, not unbiased. The model, raw wording, system rules, tools, training, and unavoidable policy still shape P0.</w:t>
      </w:r>
    </w:p>
    <w:tbl>
      <w:tblPr>
        <w:tblW w:type="dxa" w:w="9360"/>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trHeight w:hRule="atLeast"/>
          <w:cantSplit w:val="true"/>
          <w:tblHeader w:val="true"/>
        </w:trPr>
        <w:tc>
          <w:tcPr>
            <w:tcW w:type="dxa" w:w="9360"/>
            <w:tcMar>
              <w:top w:w="80" w:type="dxa"/>
              <w:start w:w="120" w:type="dxa"/>
              <w:bottom w:w="80" w:type="dxa"/>
              <w:end w:w="120" w:type="dxa"/>
            </w:tcMar>
            <w:shd w:fill="F4F6F9" w:val="clear"/>
          </w:tcPr>
          <w:p>
            <w:pPr>
              <w:spacing w:before="20" w:after="20" w:line="276" w:lineRule="auto"/>
            </w:pPr>
            <w:r>
              <w:rPr>
                <w:rFonts w:ascii="Calibri" w:hAnsi="Calibri" w:eastAsia="Calibri"/>
                <w:b/>
                <w:color w:val="8A6600"/>
                <w:sz w:val="17"/>
              </w:rPr>
              <w:t xml:space="preserve">IMPLEMENTATION CEILING  </w:t>
            </w:r>
            <w:r>
              <w:rPr>
                <w:rFonts w:ascii="Calibri" w:hAnsi="Calibri" w:eastAsia="Calibri"/>
                <w:color w:val="0B2545"/>
                <w:sz w:val="20"/>
              </w:rPr>
              <w:t>The reference runtime can construct the permitted prompt projection, fingerprint its bytes, and reject undeclared record dependencies. It cannot prove what an externally hosted model actually saw unless that invocation and its full effective context are controlled and attested. Unobserved formation context remains OPEN.</w:t>
            </w:r>
          </w:p>
        </w:tc>
      </w:tr>
    </w:tbl>
    <w:p>
      <w:pPr>
        <w:spacing w:after="0"/>
      </w:pPr>
    </w:p>
    <w:p>
      <w:pPr>
        <w:pStyle w:val="Heading2"/>
      </w:pPr>
      <w:r>
        <w:rPr>
          <w:rFonts w:ascii="Calibri" w:hAnsi="Calibri" w:eastAsia="Calibri"/>
        </w:rPr>
        <w:t>Free formation</w:t>
      </w:r>
    </w:p>
    <w:p>
      <w:pPr>
        <w:pStyle w:val="ListBullet"/>
      </w:pPr>
      <w:r>
        <w:rPr>
          <w:rFonts w:ascii="Calibri" w:hAnsi="Calibri" w:eastAsia="Calibri"/>
        </w:rPr>
        <w:t>Input: raw request, user-supplied Basis, unavoidable safety and policy constraints, declared tools, requested output form.</w:t>
      </w:r>
    </w:p>
    <w:p>
      <w:pPr>
        <w:pStyle w:val="ListBullet"/>
      </w:pPr>
      <w:r>
        <w:rPr>
          <w:rFonts w:ascii="Calibri" w:hAnsi="Calibri" w:eastAsia="Calibri"/>
        </w:rPr>
        <w:t>Excluded: Architecture+ lexicon, Passage Theory vocabulary, generated interpretation, rival, expected answer, prior branch output, or old-project authority.</w:t>
      </w:r>
    </w:p>
    <w:p>
      <w:pPr>
        <w:pStyle w:val="ListBullet"/>
      </w:pPr>
      <w:r>
        <w:rPr>
          <w:rFonts w:ascii="Calibri" w:hAnsi="Calibri" w:eastAsia="Calibri"/>
        </w:rPr>
        <w:t>Output: P0 plus its exact context manifest; fingerprint both before structured analysis.</w:t>
      </w:r>
    </w:p>
    <w:p>
      <w:pPr>
        <w:pStyle w:val="Heading2"/>
      </w:pPr>
      <w:r>
        <w:rPr>
          <w:rFonts w:ascii="Calibri" w:hAnsi="Calibri" w:eastAsia="Calibri"/>
        </w:rPr>
        <w:t>P0 manifest</w:t>
      </w:r>
    </w:p>
    <w:p>
      <w:pPr>
        <w:pStyle w:val="ListBullet"/>
      </w:pPr>
      <w:r>
        <w:rPr>
          <w:rFonts w:ascii="Calibri" w:hAnsi="Calibri" w:eastAsia="Calibri"/>
        </w:rPr>
        <w:t>raw request hash</w:t>
      </w:r>
    </w:p>
    <w:p>
      <w:pPr>
        <w:pStyle w:val="ListBullet"/>
      </w:pPr>
      <w:r>
        <w:rPr>
          <w:rFonts w:ascii="Calibri" w:hAnsi="Calibri" w:eastAsia="Calibri"/>
        </w:rPr>
        <w:t>supplied basis hashes</w:t>
      </w:r>
    </w:p>
    <w:p>
      <w:pPr>
        <w:pStyle w:val="ListBullet"/>
      </w:pPr>
      <w:r>
        <w:rPr>
          <w:rFonts w:ascii="Calibri" w:hAnsi="Calibri" w:eastAsia="Calibri"/>
        </w:rPr>
        <w:t>unavoidable policy ids</w:t>
      </w:r>
    </w:p>
    <w:p>
      <w:pPr>
        <w:pStyle w:val="ListBullet"/>
      </w:pPr>
      <w:r>
        <w:rPr>
          <w:rFonts w:ascii="Calibri" w:hAnsi="Calibri" w:eastAsia="Calibri"/>
        </w:rPr>
        <w:t>declared tools</w:t>
      </w:r>
    </w:p>
    <w:p>
      <w:pPr>
        <w:pStyle w:val="ListBullet"/>
      </w:pPr>
      <w:r>
        <w:rPr>
          <w:rFonts w:ascii="Calibri" w:hAnsi="Calibri" w:eastAsia="Calibri"/>
        </w:rPr>
        <w:t>requested output form</w:t>
      </w:r>
    </w:p>
    <w:p>
      <w:pPr>
        <w:pStyle w:val="ListBullet"/>
      </w:pPr>
      <w:r>
        <w:rPr>
          <w:rFonts w:ascii="Calibri" w:hAnsi="Calibri" w:eastAsia="Calibri"/>
        </w:rPr>
        <w:t>model or agent identity if known</w:t>
      </w:r>
    </w:p>
    <w:p>
      <w:pPr>
        <w:pStyle w:val="ListBullet"/>
      </w:pPr>
      <w:r>
        <w:rPr>
          <w:rFonts w:ascii="Calibri" w:hAnsi="Calibri" w:eastAsia="Calibri"/>
        </w:rPr>
        <w:t>formation prompt hash</w:t>
      </w:r>
    </w:p>
    <w:p>
      <w:pPr>
        <w:pStyle w:val="ListBullet"/>
      </w:pPr>
      <w:r>
        <w:rPr>
          <w:rFonts w:ascii="Calibri" w:hAnsi="Calibri" w:eastAsia="Calibri"/>
        </w:rPr>
        <w:t>formation template hash</w:t>
      </w:r>
    </w:p>
    <w:p>
      <w:pPr>
        <w:pStyle w:val="ListBullet"/>
      </w:pPr>
      <w:r>
        <w:rPr>
          <w:rFonts w:ascii="Calibri" w:hAnsi="Calibri" w:eastAsia="Calibri"/>
        </w:rPr>
        <w:t>formation context attestation or OPEN</w:t>
      </w:r>
    </w:p>
    <w:p>
      <w:pPr>
        <w:pStyle w:val="ListBullet"/>
      </w:pPr>
      <w:r>
        <w:rPr>
          <w:rFonts w:ascii="Calibri" w:hAnsi="Calibri" w:eastAsia="Calibri"/>
        </w:rPr>
        <w:t>forbidden scaffold classes</w:t>
      </w:r>
    </w:p>
    <w:p>
      <w:pPr>
        <w:pStyle w:val="ListBullet"/>
      </w:pPr>
      <w:r>
        <w:rPr>
          <w:rFonts w:ascii="Calibri" w:hAnsi="Calibri" w:eastAsia="Calibri"/>
        </w:rPr>
        <w:t>output hash</w:t>
      </w:r>
    </w:p>
    <w:p>
      <w:pPr>
        <w:pStyle w:val="Heading2"/>
      </w:pPr>
      <w:r>
        <w:rPr>
          <w:rFonts w:ascii="Calibri" w:hAnsi="Calibri" w:eastAsia="Calibri"/>
        </w:rPr>
        <w:t>Guided mode</w:t>
      </w:r>
    </w:p>
    <w:p>
      <w:r>
        <w:rPr>
          <w:rFonts w:ascii="Calibri" w:hAnsi="Calibri" w:eastAsia="Calibri"/>
        </w:rPr>
        <w:t>GUIDED mode may expose selected structure when the user requests it or the run declares a necessity. Every waived firewall partition must be recorded. Safety and binding authority constraints are never hidden.</w:t>
      </w:r>
    </w:p>
    <w:tbl>
      <w:tblPr>
        <w:tblW w:type="dxa" w:w="9360"/>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trHeight w:hRule="atLeast"/>
          <w:cantSplit w:val="true"/>
          <w:tblHeader w:val="true"/>
        </w:trPr>
        <w:tc>
          <w:tcPr>
            <w:tcW w:type="dxa" w:w="9360"/>
            <w:tcMar>
              <w:top w:w="80" w:type="dxa"/>
              <w:start w:w="120" w:type="dxa"/>
              <w:bottom w:w="80" w:type="dxa"/>
              <w:end w:w="120" w:type="dxa"/>
            </w:tcMar>
            <w:shd w:fill="F4F6F9" w:val="clear"/>
          </w:tcPr>
          <w:p>
            <w:pPr>
              <w:spacing w:before="20" w:after="20" w:line="276" w:lineRule="auto"/>
            </w:pPr>
            <w:r>
              <w:rPr>
                <w:rFonts w:ascii="Calibri" w:hAnsi="Calibri" w:eastAsia="Calibri"/>
                <w:b/>
                <w:color w:val="2E74B5"/>
                <w:sz w:val="17"/>
              </w:rPr>
              <w:t xml:space="preserve">SEQUENCE  </w:t>
            </w:r>
            <w:r>
              <w:rPr>
                <w:rFonts w:ascii="Calibri" w:hAnsi="Calibri" w:eastAsia="Calibri"/>
                <w:color w:val="0B2545"/>
                <w:sz w:val="20"/>
              </w:rPr>
              <w:t>FREE FORMATION → FREEZE P0 → STRUCTURED CHALLENGE / THEORY USE → REFORECAST → REALITY → ACCOUNTABLE REVISION</w:t>
            </w:r>
          </w:p>
        </w:tc>
      </w:tr>
    </w:tbl>
    <w:p>
      <w:pPr>
        <w:spacing w:after="0"/>
      </w:pPr>
    </w:p>
    <w:p>
      <w:pPr>
        <w:pStyle w:val="Heading1"/>
      </w:pPr>
      <w:r>
        <w:t>7  Three-view detector and Hinge discipline</w:t>
      </w:r>
    </w:p>
    <w:p>
      <w:pPr>
        <w:pStyle w:val="Kicker"/>
        <w:keepNext/>
      </w:pPr>
      <w:r>
        <w:rPr>
          <w:rFonts w:ascii="Calibri" w:hAnsi="Calibri" w:eastAsia="Calibri"/>
          <w:color w:val="667085"/>
        </w:rPr>
        <w:t>Build left-to-right; check right-to-left; compare only after freezing.</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850"/>
        <w:gridCol w:w="7510"/>
      </w:tblGrid>
      <w:tr>
        <w:trPr>
          <w:trHeight w:hRule="atLeast"/>
          <w:cantSplit w:val="true"/>
          <w:tblHeader w:val="true"/>
        </w:trPr>
        <w:tc>
          <w:tcPr>
            <w:tcW w:type="dxa" w:w="185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View</w:t>
            </w:r>
          </w:p>
        </w:tc>
        <w:tc>
          <w:tcPr>
            <w:tcW w:type="dxa" w:w="751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Question</w:t>
            </w:r>
          </w:p>
        </w:tc>
      </w:tr>
      <w:tr>
        <w:trPr>
          <w:cantSplit w:val="true"/>
        </w:trPr>
        <w:tc>
          <w:tcPr>
            <w:tcW w:type="dxa" w:w="1850"/>
            <w:vAlign w:val="center"/>
          </w:tcPr>
          <w:p>
            <w:pPr>
              <w:pStyle w:val="TableBody"/>
              <w:spacing w:before="0" w:after="0" w:line="252" w:lineRule="auto"/>
              <w:jc w:val="left"/>
            </w:pPr>
            <w:r>
              <w:rPr>
                <w:rFonts w:ascii="Calibri" w:hAnsi="Calibri" w:eastAsia="Calibri"/>
                <w:b w:val="0"/>
                <w:color w:val="111827"/>
                <w:sz w:val="16"/>
              </w:rPr>
              <w:t>Native</w:t>
            </w:r>
          </w:p>
        </w:tc>
        <w:tc>
          <w:tcPr>
            <w:tcW w:type="dxa" w:w="7510"/>
            <w:vAlign w:val="center"/>
          </w:tcPr>
          <w:p>
            <w:pPr>
              <w:pStyle w:val="TableBody"/>
              <w:spacing w:before="0" w:after="0" w:line="252" w:lineRule="auto"/>
              <w:jc w:val="left"/>
            </w:pPr>
            <w:r>
              <w:rPr>
                <w:rFonts w:ascii="Calibri" w:hAnsi="Calibri" w:eastAsia="Calibri"/>
                <w:b w:val="0"/>
                <w:color w:val="111827"/>
                <w:sz w:val="16"/>
              </w:rPr>
              <w:t>Raw request plus supplied Basis produces P0 with no Architecture+ scaffold.</w:t>
            </w:r>
          </w:p>
        </w:tc>
      </w:tr>
      <w:tr>
        <w:trPr>
          <w:cantSplit w:val="true"/>
        </w:trPr>
        <w:tc>
          <w:tcPr>
            <w:tcW w:type="dxa" w:w="1850"/>
            <w:vAlign w:val="center"/>
          </w:tcPr>
          <w:p>
            <w:pPr>
              <w:pStyle w:val="TableBody"/>
              <w:spacing w:before="0" w:after="0" w:line="252" w:lineRule="auto"/>
              <w:jc w:val="left"/>
            </w:pPr>
            <w:r>
              <w:rPr>
                <w:rFonts w:ascii="Calibri" w:hAnsi="Calibri" w:eastAsia="Calibri"/>
                <w:b w:val="0"/>
                <w:color w:val="111827"/>
                <w:sz w:val="16"/>
              </w:rPr>
              <w:t>Backward</w:t>
            </w:r>
          </w:p>
        </w:tc>
        <w:tc>
          <w:tcPr>
            <w:tcW w:type="dxa" w:w="7510"/>
            <w:vAlign w:val="center"/>
          </w:tcPr>
          <w:p>
            <w:pPr>
              <w:pStyle w:val="TableBody"/>
              <w:spacing w:before="0" w:after="0" w:line="252" w:lineRule="auto"/>
              <w:jc w:val="left"/>
            </w:pPr>
            <w:r>
              <w:rPr>
                <w:rFonts w:ascii="Calibri" w:hAnsi="Calibri" w:eastAsia="Calibri"/>
                <w:b w:val="0"/>
                <w:color w:val="111827"/>
                <w:sz w:val="16"/>
              </w:rPr>
              <w:t>Requested Return and protected conditions imply necessary claims, evidence, authority, resources, actions, and predecessors.</w:t>
            </w:r>
          </w:p>
        </w:tc>
      </w:tr>
      <w:tr>
        <w:trPr>
          <w:cantSplit w:val="true"/>
        </w:trPr>
        <w:tc>
          <w:tcPr>
            <w:tcW w:type="dxa" w:w="1850"/>
            <w:vAlign w:val="center"/>
          </w:tcPr>
          <w:p>
            <w:pPr>
              <w:pStyle w:val="TableBody"/>
              <w:spacing w:before="0" w:after="0" w:line="252" w:lineRule="auto"/>
              <w:jc w:val="left"/>
            </w:pPr>
            <w:r>
              <w:rPr>
                <w:rFonts w:ascii="Calibri" w:hAnsi="Calibri" w:eastAsia="Calibri"/>
                <w:b w:val="0"/>
                <w:color w:val="111827"/>
                <w:sz w:val="16"/>
              </w:rPr>
              <w:t>Forward</w:t>
            </w:r>
          </w:p>
        </w:tc>
        <w:tc>
          <w:tcPr>
            <w:tcW w:type="dxa" w:w="7510"/>
            <w:vAlign w:val="center"/>
          </w:tcPr>
          <w:p>
            <w:pPr>
              <w:pStyle w:val="TableBody"/>
              <w:spacing w:before="0" w:after="0" w:line="252" w:lineRule="auto"/>
              <w:jc w:val="left"/>
            </w:pPr>
            <w:r>
              <w:rPr>
                <w:rFonts w:ascii="Calibri" w:hAnsi="Calibri" w:eastAsia="Calibri"/>
                <w:b w:val="0"/>
                <w:color w:val="111827"/>
                <w:sz w:val="16"/>
              </w:rPr>
              <w:t>Supplied Basis, events, anomalies, and constraints imply warranted moves and consequences.</w:t>
            </w:r>
          </w:p>
        </w:tc>
      </w:tr>
      <w:tr>
        <w:trPr>
          <w:cantSplit w:val="true"/>
        </w:trPr>
        <w:tc>
          <w:tcPr>
            <w:tcW w:type="dxa" w:w="1850"/>
            <w:vAlign w:val="center"/>
          </w:tcPr>
          <w:p>
            <w:pPr>
              <w:pStyle w:val="TableBody"/>
              <w:spacing w:before="0" w:after="0" w:line="252" w:lineRule="auto"/>
              <w:jc w:val="left"/>
            </w:pPr>
            <w:r>
              <w:rPr>
                <w:rFonts w:ascii="Calibri" w:hAnsi="Calibri" w:eastAsia="Calibri"/>
                <w:b w:val="0"/>
                <w:color w:val="111827"/>
                <w:sz w:val="16"/>
              </w:rPr>
              <w:t>Outside-field Scout</w:t>
            </w:r>
          </w:p>
        </w:tc>
        <w:tc>
          <w:tcPr>
            <w:tcW w:type="dxa" w:w="7510"/>
            <w:vAlign w:val="center"/>
          </w:tcPr>
          <w:p>
            <w:pPr>
              <w:pStyle w:val="TableBody"/>
              <w:spacing w:before="0" w:after="0" w:line="252" w:lineRule="auto"/>
              <w:jc w:val="left"/>
            </w:pPr>
            <w:r>
              <w:rPr>
                <w:rFonts w:ascii="Calibri" w:hAnsi="Calibri" w:eastAsia="Calibri"/>
                <w:b w:val="0"/>
                <w:color w:val="111827"/>
                <w:sz w:val="16"/>
              </w:rPr>
              <w:t>Run one bounded Scout before final narrowing or stopping to seek a frame not nominated by the active lexicon.</w:t>
            </w:r>
          </w:p>
        </w:tc>
      </w:tr>
    </w:tbl>
    <w:p>
      <w:pPr>
        <w:spacing w:after="0"/>
      </w:pPr>
    </w:p>
    <w:tbl>
      <w:tblPr>
        <w:tblW w:type="dxa" w:w="9360"/>
        <w:tblLayout w:type="fixed"/>
        <w:tblLook w:firstColumn="1" w:firstRow="1" w:lastColumn="0" w:lastRow="0" w:noHBand="0" w:noVBand="1" w:val="04A0"/>
        <w:tblInd w:w="120" w:type="dxa"/>
        <w:tblBorders>
          <w:top w:val="single" w:sz="0" w:space="0" w:color="E8EEF5"/>
          <w:left w:val="single" w:sz="0" w:space="0" w:color="E8EEF5"/>
          <w:bottom w:val="single" w:sz="0" w:space="0" w:color="E8EEF5"/>
          <w:right w:val="single" w:sz="0" w:space="0" w:color="E8EEF5"/>
          <w:insideH w:val="single" w:sz="0" w:space="0" w:color="E8EEF5"/>
          <w:insideV w:val="single" w:sz="0" w:space="0" w:color="E8EEF5"/>
        </w:tblBorders>
      </w:tblPr>
      <w:tblGrid>
        <w:gridCol w:w="9360"/>
      </w:tblGrid>
      <w:tr>
        <w:trPr>
          <w:trHeight w:hRule="atLeast"/>
          <w:cantSplit w:val="true"/>
          <w:tblHeader w:val="true"/>
        </w:trPr>
        <w:tc>
          <w:tcPr>
            <w:tcW w:type="dxa" w:w="9360"/>
            <w:tcMar>
              <w:top w:w="80" w:type="dxa"/>
              <w:start w:w="120" w:type="dxa"/>
              <w:bottom w:w="80" w:type="dxa"/>
              <w:end w:w="120" w:type="dxa"/>
            </w:tcMar>
            <w:shd w:fill="E8EEF5" w:val="clear"/>
          </w:tcPr>
          <w:p>
            <w:pPr>
              <w:spacing w:before="20" w:after="20" w:line="276" w:lineRule="auto"/>
            </w:pPr>
            <w:r>
              <w:rPr>
                <w:rFonts w:ascii="Calibri" w:hAnsi="Calibri" w:eastAsia="Calibri"/>
                <w:b/>
                <w:color w:val="2E74B5"/>
                <w:sz w:val="17"/>
              </w:rPr>
              <w:t xml:space="preserve">COMPARISON RULE  </w:t>
            </w:r>
            <w:r>
              <w:rPr>
                <w:rFonts w:ascii="Calibri" w:hAnsi="Calibri" w:eastAsia="Calibri"/>
                <w:color w:val="0B2545"/>
                <w:sz w:val="20"/>
              </w:rPr>
              <w:t>Freeze each view before comparison. Agreement is not proof. Disagreement locates a candidate Hinge. Views produced by shared lineage are perturbations, not independent corroboration.</w:t>
            </w:r>
          </w:p>
        </w:tc>
      </w:tr>
    </w:tbl>
    <w:p>
      <w:pPr>
        <w:spacing w:after="0"/>
      </w:pPr>
    </w:p>
    <w:p>
      <w:pPr>
        <w:pStyle w:val="Heading2"/>
      </w:pPr>
      <w:r>
        <w:rPr>
          <w:rFonts w:ascii="Calibri" w:hAnsi="Calibri" w:eastAsia="Calibri"/>
        </w:rPr>
        <w:t>Hinge</w:t>
      </w:r>
    </w:p>
    <w:p>
      <w:r>
        <w:rPr>
          <w:rFonts w:ascii="Calibri" w:hAnsi="Calibri" w:eastAsia="Calibri"/>
        </w:rPr>
        <w:t>An alternative interpretation, relation, state, assumption, or choice whose reversal changes at least one declared Return, action, Standing, permission, obligation, protected condition, reentry, or admitted robustness field.</w:t>
      </w:r>
    </w:p>
    <w:p>
      <w:r>
        <w:rPr>
          <w:rFonts w:ascii="Calibri" w:hAnsi="Calibri" w:eastAsia="Calibri"/>
        </w:rPr>
        <w:t>A Hinge must bind: candidate; nearest material rival; affected Return fields; predicted consequence split; Basis and assumptions; possible discriminator; cost and risk; current status; expiry or reopen condition.</w:t>
      </w:r>
    </w:p>
    <w:tbl>
      <w:tblPr>
        <w:tblW w:type="dxa" w:w="9360"/>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trHeight w:hRule="atLeast"/>
          <w:cantSplit w:val="true"/>
          <w:tblHeader w:val="true"/>
        </w:trPr>
        <w:tc>
          <w:tcPr>
            <w:tcW w:type="dxa" w:w="9360"/>
            <w:tcMar>
              <w:top w:w="80" w:type="dxa"/>
              <w:start w:w="120" w:type="dxa"/>
              <w:bottom w:w="80" w:type="dxa"/>
              <w:end w:w="120" w:type="dxa"/>
            </w:tcMar>
            <w:shd w:fill="F4F6F9" w:val="clear"/>
          </w:tcPr>
          <w:p>
            <w:pPr>
              <w:spacing w:before="20" w:after="20" w:line="276" w:lineRule="auto"/>
            </w:pPr>
            <w:r>
              <w:rPr>
                <w:rFonts w:ascii="Calibri" w:hAnsi="Calibri" w:eastAsia="Calibri"/>
                <w:b/>
                <w:color w:val="2E74B5"/>
                <w:sz w:val="17"/>
              </w:rPr>
              <w:t xml:space="preserve">ADMISSION TEST  </w:t>
            </w:r>
            <w:r>
              <w:rPr>
                <w:rFonts w:ascii="Calibri" w:hAnsi="Calibri" w:eastAsia="Calibri"/>
                <w:color w:val="0B2545"/>
                <w:sz w:val="20"/>
              </w:rPr>
              <w:t>Delete, negate, invert, broaden, narrow, reorder, or substitute the candidate. If no declared field changes, discard the Hinge.</w:t>
            </w:r>
          </w:p>
        </w:tc>
      </w:tr>
    </w:tbl>
    <w:p>
      <w:pPr>
        <w:spacing w:after="0"/>
      </w:pPr>
    </w:p>
    <w:p>
      <w:pPr>
        <w:pStyle w:val="Heading2"/>
      </w:pPr>
      <w:r>
        <w:rPr>
          <w:rFonts w:ascii="Calibri" w:hAnsi="Calibri" w:eastAsia="Calibri"/>
        </w:rPr>
        <w:t>Trial</w:t>
      </w:r>
    </w:p>
    <w:p>
      <w:r>
        <w:rPr>
          <w:rFonts w:ascii="Calibri" w:hAnsi="Calibri" w:eastAsia="Calibri"/>
        </w:rPr>
        <w:t>A Trial must bind: candidate and rival; shared evaluation criteria; exact discriminator; result each outcome would change; matched cost and tool access; observed evidence and uncertainty; update to Binding or Return.</w:t>
      </w:r>
    </w:p>
    <w:p>
      <w:r>
        <w:rPr>
          <w:rFonts w:ascii="Calibri" w:hAnsi="Calibri" w:eastAsia="Calibri"/>
        </w:rPr>
        <w:t>Challenge the challenge once under the same burden. Continue only when it attacks an actual dependency and can produce productive delta.</w:t>
      </w:r>
    </w:p>
    <w:p>
      <w:r>
        <w:rPr>
          <w:rFonts w:ascii="Calibri" w:hAnsi="Calibri" w:eastAsia="Calibri"/>
        </w:rPr>
        <w:t>Separate calls or agents may reduce direct anchoring, but shared model, source, prompt lineage, builder, comparator, or oracle must remain visible. Consensus is not evidence by itself.</w:t>
      </w:r>
    </w:p>
    <w:p>
      <w:pPr>
        <w:pStyle w:val="Heading1"/>
      </w:pPr>
      <w:r>
        <w:t>8  Operating sequence</w:t>
      </w:r>
    </w:p>
    <w:p>
      <w:pPr>
        <w:pStyle w:val="Kicker"/>
        <w:keepNext/>
      </w:pPr>
      <w:r>
        <w:rPr>
          <w:rFonts w:ascii="Calibri" w:hAnsi="Calibri" w:eastAsia="Calibri"/>
          <w:color w:val="667085"/>
        </w:rPr>
        <w:t>The full structure is available; only the locally consequential parts activate.</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2050"/>
        <w:gridCol w:w="7310"/>
      </w:tblGrid>
      <w:tr>
        <w:trPr>
          <w:trHeight w:hRule="atLeast"/>
          <w:cantSplit w:val="true"/>
          <w:tblHeader w:val="true"/>
        </w:trPr>
        <w:tc>
          <w:tcPr>
            <w:tcW w:type="dxa" w:w="205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Stage</w:t>
            </w:r>
          </w:p>
        </w:tc>
        <w:tc>
          <w:tcPr>
            <w:tcW w:type="dxa" w:w="731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Operation</w:t>
            </w:r>
          </w:p>
        </w:tc>
      </w:tr>
      <w:tr>
        <w:trPr>
          <w:cantSplit w:val="true"/>
        </w:trPr>
        <w:tc>
          <w:tcPr>
            <w:tcW w:type="dxa" w:w="2050"/>
            <w:vAlign w:val="center"/>
          </w:tcPr>
          <w:p>
            <w:pPr>
              <w:pStyle w:val="TableBody"/>
              <w:spacing w:before="0" w:after="0" w:line="252" w:lineRule="auto"/>
              <w:jc w:val="left"/>
            </w:pPr>
            <w:r>
              <w:rPr>
                <w:rFonts w:ascii="Calibri" w:hAnsi="Calibri" w:eastAsia="Calibri"/>
                <w:b w:val="0"/>
                <w:color w:val="111827"/>
                <w:sz w:val="16"/>
              </w:rPr>
              <w:t>TARGET</w:t>
            </w:r>
          </w:p>
        </w:tc>
        <w:tc>
          <w:tcPr>
            <w:tcW w:type="dxa" w:w="7310"/>
            <w:vAlign w:val="center"/>
          </w:tcPr>
          <w:p>
            <w:pPr>
              <w:pStyle w:val="TableBody"/>
              <w:spacing w:before="0" w:after="0" w:line="252" w:lineRule="auto"/>
              <w:jc w:val="left"/>
            </w:pPr>
            <w:r>
              <w:rPr>
                <w:rFonts w:ascii="Calibri" w:hAnsi="Calibri" w:eastAsia="Calibri"/>
                <w:b w:val="0"/>
                <w:color w:val="111827"/>
                <w:sz w:val="16"/>
              </w:rPr>
              <w:t>Preserve raw material; declare Return components, use, stakes, protected conditions, horizon, authority, unacceptable errors, and budget.</w:t>
            </w:r>
          </w:p>
        </w:tc>
      </w:tr>
      <w:tr>
        <w:trPr>
          <w:cantSplit w:val="true"/>
        </w:trPr>
        <w:tc>
          <w:tcPr>
            <w:tcW w:type="dxa" w:w="2050"/>
            <w:vAlign w:val="center"/>
          </w:tcPr>
          <w:p>
            <w:pPr>
              <w:pStyle w:val="TableBody"/>
              <w:spacing w:before="0" w:after="0" w:line="252" w:lineRule="auto"/>
              <w:jc w:val="left"/>
            </w:pPr>
            <w:r>
              <w:rPr>
                <w:rFonts w:ascii="Calibri" w:hAnsi="Calibri" w:eastAsia="Calibri"/>
                <w:b w:val="0"/>
                <w:color w:val="111827"/>
                <w:sz w:val="16"/>
              </w:rPr>
              <w:t>FORGE</w:t>
            </w:r>
          </w:p>
        </w:tc>
        <w:tc>
          <w:tcPr>
            <w:tcW w:type="dxa" w:w="7310"/>
            <w:vAlign w:val="center"/>
          </w:tcPr>
          <w:p>
            <w:pPr>
              <w:pStyle w:val="TableBody"/>
              <w:spacing w:before="0" w:after="0" w:line="252" w:lineRule="auto"/>
              <w:jc w:val="left"/>
            </w:pPr>
            <w:r>
              <w:rPr>
                <w:rFonts w:ascii="Calibri" w:hAnsi="Calibri" w:eastAsia="Calibri"/>
                <w:b w:val="0"/>
                <w:color w:val="111827"/>
                <w:sz w:val="16"/>
              </w:rPr>
              <w:t>Form P0 through the Formation Firewall; the reference runtime emits and fingerprints the prompt, then records supplied output.</w:t>
            </w:r>
          </w:p>
        </w:tc>
      </w:tr>
      <w:tr>
        <w:trPr>
          <w:cantSplit w:val="true"/>
        </w:trPr>
        <w:tc>
          <w:tcPr>
            <w:tcW w:type="dxa" w:w="2050"/>
            <w:vAlign w:val="center"/>
          </w:tcPr>
          <w:p>
            <w:pPr>
              <w:pStyle w:val="TableBody"/>
              <w:spacing w:before="0" w:after="0" w:line="252" w:lineRule="auto"/>
              <w:jc w:val="left"/>
            </w:pPr>
            <w:r>
              <w:rPr>
                <w:rFonts w:ascii="Calibri" w:hAnsi="Calibri" w:eastAsia="Calibri"/>
                <w:b w:val="0"/>
                <w:color w:val="111827"/>
                <w:sz w:val="16"/>
              </w:rPr>
              <w:t>FREEZE_P0</w:t>
            </w:r>
          </w:p>
        </w:tc>
        <w:tc>
          <w:tcPr>
            <w:tcW w:type="dxa" w:w="7310"/>
            <w:vAlign w:val="center"/>
          </w:tcPr>
          <w:p>
            <w:pPr>
              <w:pStyle w:val="TableBody"/>
              <w:spacing w:before="0" w:after="0" w:line="252" w:lineRule="auto"/>
              <w:jc w:val="left"/>
            </w:pPr>
            <w:r>
              <w:rPr>
                <w:rFonts w:ascii="Calibri" w:hAnsi="Calibri" w:eastAsia="Calibri"/>
                <w:b w:val="0"/>
                <w:color w:val="111827"/>
                <w:sz w:val="16"/>
              </w:rPr>
              <w:t>Fingerprint P0 and its context manifest before structured analysis.</w:t>
            </w:r>
          </w:p>
        </w:tc>
      </w:tr>
      <w:tr>
        <w:trPr>
          <w:cantSplit w:val="true"/>
        </w:trPr>
        <w:tc>
          <w:tcPr>
            <w:tcW w:type="dxa" w:w="2050"/>
            <w:vAlign w:val="center"/>
          </w:tcPr>
          <w:p>
            <w:pPr>
              <w:pStyle w:val="TableBody"/>
              <w:spacing w:before="0" w:after="0" w:line="252" w:lineRule="auto"/>
              <w:jc w:val="left"/>
            </w:pPr>
            <w:r>
              <w:rPr>
                <w:rFonts w:ascii="Calibri" w:hAnsi="Calibri" w:eastAsia="Calibri"/>
                <w:b w:val="0"/>
                <w:color w:val="111827"/>
                <w:sz w:val="16"/>
              </w:rPr>
              <w:t>SWEEP</w:t>
            </w:r>
          </w:p>
        </w:tc>
        <w:tc>
          <w:tcPr>
            <w:tcW w:type="dxa" w:w="7310"/>
            <w:vAlign w:val="center"/>
          </w:tcPr>
          <w:p>
            <w:pPr>
              <w:pStyle w:val="TableBody"/>
              <w:spacing w:before="0" w:after="0" w:line="252" w:lineRule="auto"/>
              <w:jc w:val="left"/>
            </w:pPr>
            <w:r>
              <w:rPr>
                <w:rFonts w:ascii="Calibri" w:hAnsi="Calibri" w:eastAsia="Calibri"/>
                <w:b w:val="0"/>
                <w:color w:val="111827"/>
                <w:sz w:val="16"/>
              </w:rPr>
              <w:t>Form backward, forward, and outside-field views without cross-anchoring; the reference runtime emits prompts and validates supplied records.</w:t>
            </w:r>
          </w:p>
        </w:tc>
      </w:tr>
      <w:tr>
        <w:trPr>
          <w:cantSplit w:val="true"/>
        </w:trPr>
        <w:tc>
          <w:tcPr>
            <w:tcW w:type="dxa" w:w="2050"/>
            <w:vAlign w:val="center"/>
          </w:tcPr>
          <w:p>
            <w:pPr>
              <w:pStyle w:val="TableBody"/>
              <w:spacing w:before="0" w:after="0" w:line="252" w:lineRule="auto"/>
              <w:jc w:val="left"/>
            </w:pPr>
            <w:r>
              <w:rPr>
                <w:rFonts w:ascii="Calibri" w:hAnsi="Calibri" w:eastAsia="Calibri"/>
                <w:b w:val="0"/>
                <w:color w:val="111827"/>
                <w:sz w:val="16"/>
              </w:rPr>
              <w:t>HINGE</w:t>
            </w:r>
          </w:p>
        </w:tc>
        <w:tc>
          <w:tcPr>
            <w:tcW w:type="dxa" w:w="7310"/>
            <w:vAlign w:val="center"/>
          </w:tcPr>
          <w:p>
            <w:pPr>
              <w:pStyle w:val="TableBody"/>
              <w:spacing w:before="0" w:after="0" w:line="252" w:lineRule="auto"/>
              <w:jc w:val="left"/>
            </w:pPr>
            <w:r>
              <w:rPr>
                <w:rFonts w:ascii="Calibri" w:hAnsi="Calibri" w:eastAsia="Calibri"/>
                <w:b w:val="0"/>
                <w:color w:val="111827"/>
                <w:sz w:val="16"/>
              </w:rPr>
              <w:t>Retain only differences capable of changing a declared field.</w:t>
            </w:r>
          </w:p>
        </w:tc>
      </w:tr>
      <w:tr>
        <w:trPr>
          <w:cantSplit w:val="true"/>
        </w:trPr>
        <w:tc>
          <w:tcPr>
            <w:tcW w:type="dxa" w:w="2050"/>
            <w:vAlign w:val="center"/>
          </w:tcPr>
          <w:p>
            <w:pPr>
              <w:pStyle w:val="TableBody"/>
              <w:spacing w:before="0" w:after="0" w:line="252" w:lineRule="auto"/>
              <w:jc w:val="left"/>
            </w:pPr>
            <w:r>
              <w:rPr>
                <w:rFonts w:ascii="Calibri" w:hAnsi="Calibri" w:eastAsia="Calibri"/>
                <w:b w:val="0"/>
                <w:color w:val="111827"/>
                <w:sz w:val="16"/>
              </w:rPr>
              <w:t>TRIAL</w:t>
            </w:r>
          </w:p>
        </w:tc>
        <w:tc>
          <w:tcPr>
            <w:tcW w:type="dxa" w:w="7310"/>
            <w:vAlign w:val="center"/>
          </w:tcPr>
          <w:p>
            <w:pPr>
              <w:pStyle w:val="TableBody"/>
              <w:spacing w:before="0" w:after="0" w:line="252" w:lineRule="auto"/>
              <w:jc w:val="left"/>
            </w:pPr>
            <w:r>
              <w:rPr>
                <w:rFonts w:ascii="Calibri" w:hAnsi="Calibri" w:eastAsia="Calibri"/>
                <w:b w:val="0"/>
                <w:color w:val="111827"/>
                <w:sz w:val="16"/>
              </w:rPr>
              <w:t>Test candidate and rival with a matched discriminator.</w:t>
            </w:r>
          </w:p>
        </w:tc>
      </w:tr>
      <w:tr>
        <w:trPr>
          <w:cantSplit w:val="true"/>
        </w:trPr>
        <w:tc>
          <w:tcPr>
            <w:tcW w:type="dxa" w:w="2050"/>
            <w:vAlign w:val="center"/>
          </w:tcPr>
          <w:p>
            <w:pPr>
              <w:pStyle w:val="TableBody"/>
              <w:spacing w:before="0" w:after="0" w:line="252" w:lineRule="auto"/>
              <w:jc w:val="left"/>
            </w:pPr>
            <w:r>
              <w:rPr>
                <w:rFonts w:ascii="Calibri" w:hAnsi="Calibri" w:eastAsia="Calibri"/>
                <w:b w:val="0"/>
                <w:color w:val="111827"/>
                <w:sz w:val="16"/>
              </w:rPr>
              <w:t>MOVE_REVISE</w:t>
            </w:r>
          </w:p>
        </w:tc>
        <w:tc>
          <w:tcPr>
            <w:tcW w:type="dxa" w:w="7310"/>
            <w:vAlign w:val="center"/>
          </w:tcPr>
          <w:p>
            <w:pPr>
              <w:pStyle w:val="TableBody"/>
              <w:spacing w:before="0" w:after="0" w:line="252" w:lineRule="auto"/>
              <w:jc w:val="left"/>
            </w:pPr>
            <w:r>
              <w:rPr>
                <w:rFonts w:ascii="Calibri" w:hAnsi="Calibri" w:eastAsia="Calibri"/>
                <w:b w:val="0"/>
                <w:color w:val="111827"/>
                <w:sz w:val="16"/>
              </w:rPr>
              <w:t>Adaptively gather, generate, clarify, challenge, prototype, build, or request execution within declared authority and adapter limits.</w:t>
            </w:r>
          </w:p>
        </w:tc>
      </w:tr>
      <w:tr>
        <w:trPr>
          <w:cantSplit w:val="true"/>
        </w:trPr>
        <w:tc>
          <w:tcPr>
            <w:tcW w:type="dxa" w:w="2050"/>
            <w:vAlign w:val="center"/>
          </w:tcPr>
          <w:p>
            <w:pPr>
              <w:pStyle w:val="TableBody"/>
              <w:spacing w:before="0" w:after="0" w:line="252" w:lineRule="auto"/>
              <w:jc w:val="left"/>
            </w:pPr>
            <w:r>
              <w:rPr>
                <w:rFonts w:ascii="Calibri" w:hAnsi="Calibri" w:eastAsia="Calibri"/>
                <w:b w:val="0"/>
                <w:color w:val="111827"/>
                <w:sz w:val="16"/>
              </w:rPr>
              <w:t>THIN</w:t>
            </w:r>
          </w:p>
        </w:tc>
        <w:tc>
          <w:tcPr>
            <w:tcW w:type="dxa" w:w="7310"/>
            <w:vAlign w:val="center"/>
          </w:tcPr>
          <w:p>
            <w:pPr>
              <w:pStyle w:val="TableBody"/>
              <w:spacing w:before="0" w:after="0" w:line="252" w:lineRule="auto"/>
              <w:jc w:val="left"/>
            </w:pPr>
            <w:r>
              <w:rPr>
                <w:rFonts w:ascii="Calibri" w:hAnsi="Calibri" w:eastAsia="Calibri"/>
                <w:b w:val="0"/>
                <w:color w:val="111827"/>
                <w:sz w:val="16"/>
              </w:rPr>
              <w:t>Invert, substitute, and ablate structure; demote anything without witnessed delta.</w:t>
            </w:r>
          </w:p>
        </w:tc>
      </w:tr>
      <w:tr>
        <w:trPr>
          <w:cantSplit w:val="true"/>
        </w:trPr>
        <w:tc>
          <w:tcPr>
            <w:tcW w:type="dxa" w:w="2050"/>
            <w:vAlign w:val="center"/>
          </w:tcPr>
          <w:p>
            <w:pPr>
              <w:pStyle w:val="TableBody"/>
              <w:spacing w:before="0" w:after="0" w:line="252" w:lineRule="auto"/>
              <w:jc w:val="left"/>
            </w:pPr>
            <w:r>
              <w:rPr>
                <w:rFonts w:ascii="Calibri" w:hAnsi="Calibri" w:eastAsia="Calibri"/>
                <w:b w:val="0"/>
                <w:color w:val="111827"/>
                <w:sz w:val="16"/>
              </w:rPr>
              <w:t>SEAL</w:t>
            </w:r>
          </w:p>
        </w:tc>
        <w:tc>
          <w:tcPr>
            <w:tcW w:type="dxa" w:w="7310"/>
            <w:vAlign w:val="center"/>
          </w:tcPr>
          <w:p>
            <w:pPr>
              <w:pStyle w:val="TableBody"/>
              <w:spacing w:before="0" w:after="0" w:line="252" w:lineRule="auto"/>
              <w:jc w:val="left"/>
            </w:pPr>
            <w:r>
              <w:rPr>
                <w:rFonts w:ascii="Calibri" w:hAnsi="Calibri" w:eastAsia="Calibri"/>
                <w:b w:val="0"/>
                <w:color w:val="111827"/>
                <w:sz w:val="16"/>
              </w:rPr>
              <w:t>Fingerprint the exact RunSpec, current phase payloads, BindingSet, admitted Binding IDs, pre-Seal Event head, represented operations, budgets, and open Binding obligations.</w:t>
            </w:r>
          </w:p>
        </w:tc>
      </w:tr>
      <w:tr>
        <w:trPr>
          <w:cantSplit w:val="true"/>
        </w:trPr>
        <w:tc>
          <w:tcPr>
            <w:tcW w:type="dxa" w:w="2050"/>
            <w:vAlign w:val="center"/>
          </w:tcPr>
          <w:p>
            <w:pPr>
              <w:pStyle w:val="TableBody"/>
              <w:spacing w:before="0" w:after="0" w:line="252" w:lineRule="auto"/>
              <w:jc w:val="left"/>
            </w:pPr>
            <w:r>
              <w:rPr>
                <w:rFonts w:ascii="Calibri" w:hAnsi="Calibri" w:eastAsia="Calibri"/>
                <w:b w:val="0"/>
                <w:color w:val="111827"/>
                <w:sz w:val="16"/>
              </w:rPr>
              <w:t>RETURN_OR_ACT</w:t>
            </w:r>
          </w:p>
        </w:tc>
        <w:tc>
          <w:tcPr>
            <w:tcW w:type="dxa" w:w="7310"/>
            <w:vAlign w:val="center"/>
          </w:tcPr>
          <w:p>
            <w:pPr>
              <w:pStyle w:val="TableBody"/>
              <w:spacing w:before="0" w:after="0" w:line="252" w:lineRule="auto"/>
              <w:jc w:val="left"/>
            </w:pPr>
            <w:r>
              <w:rPr>
                <w:rFonts w:ascii="Calibri" w:hAnsi="Calibri" w:eastAsia="Calibri"/>
                <w:b w:val="0"/>
                <w:color w:val="111827"/>
                <w:sz w:val="16"/>
              </w:rPr>
              <w:t>Produce supported Returns or seal a represented REQUEST_EXECUTION intent. Contract-complete adapter requests remain OPEN until a separately qualified adapter supplies and validates the required fields.</w:t>
            </w:r>
          </w:p>
        </w:tc>
      </w:tr>
      <w:tr>
        <w:trPr>
          <w:cantSplit w:val="true"/>
        </w:trPr>
        <w:tc>
          <w:tcPr>
            <w:tcW w:type="dxa" w:w="2050"/>
            <w:vAlign w:val="center"/>
          </w:tcPr>
          <w:p>
            <w:pPr>
              <w:pStyle w:val="TableBody"/>
              <w:spacing w:before="0" w:after="0" w:line="252" w:lineRule="auto"/>
              <w:jc w:val="left"/>
            </w:pPr>
            <w:r>
              <w:rPr>
                <w:rFonts w:ascii="Calibri" w:hAnsi="Calibri" w:eastAsia="Calibri"/>
                <w:b w:val="0"/>
                <w:color w:val="111827"/>
                <w:sz w:val="16"/>
              </w:rPr>
              <w:t>RECEIPT</w:t>
            </w:r>
          </w:p>
        </w:tc>
        <w:tc>
          <w:tcPr>
            <w:tcW w:type="dxa" w:w="7310"/>
            <w:vAlign w:val="center"/>
          </w:tcPr>
          <w:p>
            <w:pPr>
              <w:pStyle w:val="TableBody"/>
              <w:spacing w:before="0" w:after="0" w:line="252" w:lineRule="auto"/>
              <w:jc w:val="left"/>
            </w:pPr>
            <w:r>
              <w:rPr>
                <w:rFonts w:ascii="Calibri" w:hAnsi="Calibri" w:eastAsia="Calibri"/>
                <w:b w:val="0"/>
                <w:color w:val="111827"/>
                <w:sz w:val="16"/>
              </w:rPr>
              <w:t>Record recommendation separately; the 0.1 reference keeps every later stage OPEN or NOT_APPLICABLE until a typed external profile exists.</w:t>
            </w:r>
          </w:p>
        </w:tc>
      </w:tr>
      <w:tr>
        <w:trPr>
          <w:cantSplit w:val="true"/>
        </w:trPr>
        <w:tc>
          <w:tcPr>
            <w:tcW w:type="dxa" w:w="2050"/>
            <w:vAlign w:val="center"/>
          </w:tcPr>
          <w:p>
            <w:pPr>
              <w:pStyle w:val="TableBody"/>
              <w:spacing w:before="0" w:after="0" w:line="252" w:lineRule="auto"/>
              <w:jc w:val="left"/>
            </w:pPr>
            <w:r>
              <w:rPr>
                <w:rFonts w:ascii="Calibri" w:hAnsi="Calibri" w:eastAsia="Calibri"/>
                <w:b w:val="0"/>
                <w:color w:val="111827"/>
                <w:sz w:val="16"/>
              </w:rPr>
              <w:t>LEASE_OR_REOPEN</w:t>
            </w:r>
          </w:p>
        </w:tc>
        <w:tc>
          <w:tcPr>
            <w:tcW w:type="dxa" w:w="7310"/>
            <w:vAlign w:val="center"/>
          </w:tcPr>
          <w:p>
            <w:pPr>
              <w:pStyle w:val="TableBody"/>
              <w:spacing w:before="0" w:after="0" w:line="252" w:lineRule="auto"/>
              <w:jc w:val="left"/>
            </w:pPr>
            <w:r>
              <w:rPr>
                <w:rFonts w:ascii="Calibri" w:hAnsi="Calibri" w:eastAsia="Calibri"/>
                <w:b w:val="0"/>
                <w:color w:val="111827"/>
                <w:sz w:val="16"/>
              </w:rPr>
              <w:t>Lease useful mechanisms and reopen only the slice reached by change.</w:t>
            </w:r>
          </w:p>
        </w:tc>
      </w:tr>
    </w:tbl>
    <w:p>
      <w:pPr>
        <w:spacing w:after="0"/>
      </w:pPr>
    </w:p>
    <w:p>
      <w:pPr>
        <w:pStyle w:val="Heading2"/>
      </w:pPr>
      <w:r>
        <w:rPr>
          <w:rFonts w:ascii="Calibri" w:hAnsi="Calibri" w:eastAsia="Calibri"/>
        </w:rPr>
        <w:t>Adaptive inner loop</w:t>
      </w:r>
    </w:p>
    <w:p>
      <w:pPr>
        <w:pStyle w:val="Lead"/>
        <w:jc w:val="center"/>
      </w:pPr>
      <w:r>
        <w:rPr>
          <w:rFonts w:ascii="Calibri" w:hAnsi="Calibri" w:eastAsia="Calibri"/>
          <w:color w:val="0B2545"/>
        </w:rPr>
        <w:t>DRAFT → HINGE → MOVE → REVISE</w:t>
      </w:r>
    </w:p>
    <w:p>
      <w:pPr>
        <w:pStyle w:val="Heading2"/>
      </w:pPr>
      <w:r>
        <w:rPr>
          <w:rFonts w:ascii="Calibri" w:hAnsi="Calibri" w:eastAsia="Calibri"/>
        </w:rPr>
        <w:t>Moves</w:t>
      </w:r>
    </w:p>
    <w:p>
      <w:r>
        <w:rPr>
          <w:rFonts w:ascii="Calibri" w:hAnsi="Calibri" w:eastAsia="Calibri"/>
        </w:rPr>
        <w:t>SCOUT, GENERATE, RETRIEVE, CLARIFY, DISCRIMINATE, CHALLENGE, PROTOTYPE, BUILD, REQUEST_EXECUTION.</w:t>
      </w:r>
    </w:p>
    <w:tbl>
      <w:tblPr>
        <w:tblW w:type="dxa" w:w="9360"/>
        <w:tblLayout w:type="fixed"/>
        <w:tblLook w:firstColumn="1" w:firstRow="1" w:lastColumn="0" w:lastRow="0" w:noHBand="0" w:noVBand="1" w:val="04A0"/>
        <w:tblInd w:w="120" w:type="dxa"/>
        <w:tblBorders>
          <w:top w:val="single" w:sz="0" w:space="0" w:color="E8EEF5"/>
          <w:left w:val="single" w:sz="0" w:space="0" w:color="E8EEF5"/>
          <w:bottom w:val="single" w:sz="0" w:space="0" w:color="E8EEF5"/>
          <w:right w:val="single" w:sz="0" w:space="0" w:color="E8EEF5"/>
          <w:insideH w:val="single" w:sz="0" w:space="0" w:color="E8EEF5"/>
          <w:insideV w:val="single" w:sz="0" w:space="0" w:color="E8EEF5"/>
        </w:tblBorders>
      </w:tblPr>
      <w:tblGrid>
        <w:gridCol w:w="9360"/>
      </w:tblGrid>
      <w:tr>
        <w:trPr>
          <w:trHeight w:hRule="atLeast"/>
          <w:cantSplit w:val="true"/>
          <w:tblHeader w:val="true"/>
        </w:trPr>
        <w:tc>
          <w:tcPr>
            <w:tcW w:type="dxa" w:w="9360"/>
            <w:tcMar>
              <w:top w:w="80" w:type="dxa"/>
              <w:start w:w="120" w:type="dxa"/>
              <w:bottom w:w="80" w:type="dxa"/>
              <w:end w:w="120" w:type="dxa"/>
            </w:tcMar>
            <w:shd w:fill="E8EEF5" w:val="clear"/>
          </w:tcPr>
          <w:p>
            <w:pPr>
              <w:spacing w:before="20" w:after="20" w:line="276" w:lineRule="auto"/>
            </w:pPr>
            <w:r>
              <w:rPr>
                <w:rFonts w:ascii="Calibri" w:hAnsi="Calibri" w:eastAsia="Calibri"/>
                <w:b/>
                <w:color w:val="2E74B5"/>
                <w:sz w:val="17"/>
              </w:rPr>
              <w:t xml:space="preserve">MOVE SELECTION  </w:t>
            </w:r>
            <w:r>
              <w:rPr>
                <w:rFonts w:ascii="Calibri" w:hAnsi="Calibri" w:eastAsia="Calibri"/>
                <w:color w:val="0B2545"/>
                <w:sz w:val="20"/>
              </w:rPr>
              <w:t>Choose the cheapest admissible Move with plausible material Return impact after accounting for cost, interference, irreversibility, and missing authority.</w:t>
            </w:r>
          </w:p>
        </w:tc>
      </w:tr>
    </w:tbl>
    <w:p>
      <w:pPr>
        <w:spacing w:after="0"/>
      </w:pPr>
    </w:p>
    <w:p>
      <w:r>
        <w:rPr>
          <w:rFonts w:ascii="Calibri" w:hAnsi="Calibri" w:eastAsia="Calibri"/>
        </w:rPr>
        <w:t>REQUEST_EXECUTION requires a Seal and a domain adapter that separately verifies actor, authority, permission, target, preconditions, duplicate policy, recovery, and irreversibility. The reference runtime has no execution adapter.</w:t>
      </w:r>
    </w:p>
    <w:p>
      <w:pPr>
        <w:pStyle w:val="Heading2"/>
      </w:pPr>
      <w:r>
        <w:rPr>
          <w:rFonts w:ascii="Calibri" w:hAnsi="Calibri" w:eastAsia="Calibri"/>
        </w:rPr>
        <w:t>Productive delta</w:t>
      </w:r>
    </w:p>
    <w:p>
      <w:pPr>
        <w:pStyle w:val="ListBullet"/>
      </w:pPr>
      <w:r>
        <w:rPr>
          <w:rFonts w:ascii="Calibri" w:hAnsi="Calibri" w:eastAsia="Calibri"/>
        </w:rPr>
        <w:t>adds evidence or counterevidence</w:t>
      </w:r>
    </w:p>
    <w:p>
      <w:pPr>
        <w:pStyle w:val="ListBullet"/>
      </w:pPr>
      <w:r>
        <w:rPr>
          <w:rFonts w:ascii="Calibri" w:hAnsi="Calibri" w:eastAsia="Calibri"/>
        </w:rPr>
        <w:t>changes a material Binding or Return</w:t>
      </w:r>
    </w:p>
    <w:p>
      <w:pPr>
        <w:pStyle w:val="ListBullet"/>
      </w:pPr>
      <w:r>
        <w:rPr>
          <w:rFonts w:ascii="Calibri" w:hAnsi="Calibri" w:eastAsia="Calibri"/>
        </w:rPr>
        <w:t>defeats or materially strengthens a rival</w:t>
      </w:r>
    </w:p>
    <w:p>
      <w:pPr>
        <w:pStyle w:val="ListBullet"/>
      </w:pPr>
      <w:r>
        <w:rPr>
          <w:rFonts w:ascii="Calibri" w:hAnsi="Calibri" w:eastAsia="Calibri"/>
        </w:rPr>
        <w:t>finds a missing distinction</w:t>
      </w:r>
    </w:p>
    <w:p>
      <w:pPr>
        <w:pStyle w:val="ListBullet"/>
      </w:pPr>
      <w:r>
        <w:rPr>
          <w:rFonts w:ascii="Calibri" w:hAnsi="Calibri" w:eastAsia="Calibri"/>
        </w:rPr>
        <w:t>localizes an obligation</w:t>
      </w:r>
    </w:p>
    <w:p>
      <w:pPr>
        <w:pStyle w:val="ListBullet"/>
      </w:pPr>
      <w:r>
        <w:rPr>
          <w:rFonts w:ascii="Calibri" w:hAnsi="Calibri" w:eastAsia="Calibri"/>
        </w:rPr>
        <w:t>improves the earliest useful reentry</w:t>
      </w:r>
    </w:p>
    <w:p>
      <w:pPr>
        <w:pStyle w:val="ListBullet"/>
      </w:pPr>
      <w:r>
        <w:rPr>
          <w:rFonts w:ascii="Calibri" w:hAnsi="Calibri" w:eastAsia="Calibri"/>
        </w:rPr>
        <w:t>changes a protected-condition or critical-error assessment</w:t>
      </w:r>
    </w:p>
    <w:p>
      <w:pPr>
        <w:pStyle w:val="Heading2"/>
      </w:pPr>
      <w:r>
        <w:rPr>
          <w:rFonts w:ascii="Calibri" w:hAnsi="Calibri" w:eastAsia="Calibri"/>
        </w:rPr>
        <w:t>Thin and Seal</w:t>
      </w:r>
    </w:p>
    <w:p>
      <w:pPr>
        <w:pStyle w:val="ListBullet"/>
      </w:pPr>
      <w:r>
        <w:rPr>
          <w:rFonts w:ascii="Calibri" w:hAnsi="Calibri" w:eastAsia="Calibri"/>
        </w:rPr>
        <w:t>Thin: delete, invert, substitute, reorder, narrow, broaden, or factor structure. Demote anything whose removal changes no declared field, safety property, obligation, trace, or reentry.</w:t>
      </w:r>
    </w:p>
    <w:p>
      <w:pPr>
        <w:pStyle w:val="ListBullet"/>
      </w:pPr>
      <w:r>
        <w:rPr>
          <w:rFonts w:ascii="Calibri" w:hAnsi="Calibri" w:eastAsia="Calibri"/>
        </w:rPr>
        <w:t>Seal: A derived fingerprint over the exact RunSpec, current P0/sweep/Hinge/Trial/Binding payloads, BindingSet, admitted Binding IDs, pre-Seal Event head, represented operations, budgets, and open Binding obligations. It carries no independent permission set.</w:t>
      </w:r>
    </w:p>
    <w:p>
      <w:pPr>
        <w:pStyle w:val="ListBullet"/>
      </w:pPr>
      <w:r>
        <w:rPr>
          <w:rFonts w:ascii="Calibri" w:hAnsi="Calibri" w:eastAsia="Calibri"/>
        </w:rPr>
        <w:t>After Seal: supply a complete child RunSpec whose lineage maps every changed reference to new Basis material. Validate it before recording Reentry; preserve the old prefix and re-earn affected support before a new Seal.</w:t>
      </w:r>
    </w:p>
    <w:p>
      <w:pPr>
        <w:pStyle w:val="Heading1"/>
      </w:pPr>
      <w:r>
        <w:t>9  Return, exact OPEN, and stopping</w:t>
      </w:r>
    </w:p>
    <w:p>
      <w:pPr>
        <w:pStyle w:val="Kicker"/>
        <w:keepNext/>
      </w:pPr>
      <w:r>
        <w:rPr>
          <w:rFonts w:ascii="Calibri" w:hAnsi="Calibri" w:eastAsia="Calibri"/>
          <w:color w:val="667085"/>
        </w:rPr>
        <w:t>Completion describes support, not whether the answer is positive.</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650"/>
        <w:gridCol w:w="3500"/>
        <w:gridCol w:w="4210"/>
      </w:tblGrid>
      <w:tr>
        <w:trPr>
          <w:trHeight w:hRule="atLeast"/>
          <w:cantSplit w:val="true"/>
          <w:tblHeader w:val="true"/>
        </w:trPr>
        <w:tc>
          <w:tcPr>
            <w:tcW w:type="dxa" w:w="165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Dimension</w:t>
            </w:r>
          </w:p>
        </w:tc>
        <w:tc>
          <w:tcPr>
            <w:tcW w:type="dxa" w:w="3500"/>
            <w:tcMar>
              <w:top w:w="80" w:type="dxa"/>
              <w:start w:w="120" w:type="dxa"/>
              <w:bottom w:w="80" w:type="dxa"/>
              <w:end w:w="120" w:type="dxa"/>
            </w:tcMar>
            <w:shd w:fill="E8EEF5" w:val="clear"/>
            <w:vAlign w:val="center"/>
          </w:tcPr>
          <w:p>
            <w:pPr>
              <w:pStyle w:val="TableBody"/>
              <w:spacing w:before="0" w:after="0" w:line="252" w:lineRule="auto"/>
              <w:jc w:val="left"/>
            </w:pPr>
            <w:r>
              <w:rPr>
                <w:rFonts w:ascii="Calibri" w:hAnsi="Calibri" w:eastAsia="Calibri"/>
                <w:b/>
                <w:color w:val="0B2545"/>
                <w:sz w:val="16"/>
              </w:rPr>
              <w:t>Controlled values</w:t>
            </w:r>
          </w:p>
        </w:tc>
        <w:tc>
          <w:tcPr>
            <w:tcW w:type="dxa" w:w="421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Meaning</w:t>
            </w:r>
          </w:p>
        </w:tc>
      </w:tr>
      <w:tr>
        <w:trPr>
          <w:cantSplit w:val="true"/>
        </w:trPr>
        <w:tc>
          <w:tcPr>
            <w:tcW w:type="dxa" w:w="1650"/>
            <w:vAlign w:val="center"/>
          </w:tcPr>
          <w:p>
            <w:pPr>
              <w:pStyle w:val="TableBody"/>
              <w:spacing w:before="0" w:after="0" w:line="252" w:lineRule="auto"/>
              <w:jc w:val="left"/>
            </w:pPr>
            <w:r>
              <w:rPr>
                <w:rFonts w:ascii="Calibri" w:hAnsi="Calibri" w:eastAsia="Calibri"/>
                <w:b w:val="0"/>
                <w:color w:val="111827"/>
                <w:sz w:val="15"/>
              </w:rPr>
              <w:t>Operation outcome</w:t>
            </w:r>
          </w:p>
        </w:tc>
        <w:tc>
          <w:tcPr>
            <w:tcW w:type="dxa" w:w="3500"/>
            <w:vAlign w:val="center"/>
          </w:tcPr>
          <w:p>
            <w:pPr>
              <w:pStyle w:val="TableBody"/>
              <w:spacing w:before="0" w:after="0" w:line="252" w:lineRule="auto"/>
              <w:jc w:val="left"/>
            </w:pPr>
            <w:r>
              <w:rPr>
                <w:rFonts w:ascii="Calibri" w:hAnsi="Calibri" w:eastAsia="Calibri"/>
                <w:b w:val="0"/>
                <w:color w:val="111827"/>
                <w:sz w:val="15"/>
              </w:rPr>
              <w:t>EARNED / REJECTED / OPEN</w:t>
            </w:r>
          </w:p>
        </w:tc>
        <w:tc>
          <w:tcPr>
            <w:tcW w:type="dxa" w:w="4210"/>
            <w:vAlign w:val="center"/>
          </w:tcPr>
          <w:p>
            <w:pPr>
              <w:pStyle w:val="TableBody"/>
              <w:spacing w:before="0" w:after="0" w:line="252" w:lineRule="auto"/>
              <w:jc w:val="left"/>
            </w:pPr>
            <w:r>
              <w:rPr>
                <w:rFonts w:ascii="Calibri" w:hAnsi="Calibri" w:eastAsia="Calibri"/>
                <w:b w:val="0"/>
                <w:color w:val="111827"/>
                <w:sz w:val="15"/>
              </w:rPr>
              <w:t>Whether the exact support obligation closed, was counterwitnessed, or remains unresolved.</w:t>
            </w:r>
          </w:p>
        </w:tc>
      </w:tr>
      <w:tr>
        <w:trPr>
          <w:cantSplit w:val="true"/>
        </w:trPr>
        <w:tc>
          <w:tcPr>
            <w:tcW w:type="dxa" w:w="1650"/>
            <w:vAlign w:val="center"/>
          </w:tcPr>
          <w:p>
            <w:pPr>
              <w:pStyle w:val="TableBody"/>
              <w:spacing w:before="0" w:after="0" w:line="252" w:lineRule="auto"/>
              <w:jc w:val="left"/>
            </w:pPr>
            <w:r>
              <w:rPr>
                <w:rFonts w:ascii="Calibri" w:hAnsi="Calibri" w:eastAsia="Calibri"/>
                <w:b w:val="0"/>
                <w:color w:val="111827"/>
                <w:sz w:val="15"/>
              </w:rPr>
              <w:t>Domain disposition</w:t>
            </w:r>
          </w:p>
        </w:tc>
        <w:tc>
          <w:tcPr>
            <w:tcW w:type="dxa" w:w="3500"/>
            <w:vAlign w:val="center"/>
          </w:tcPr>
          <w:p>
            <w:pPr>
              <w:pStyle w:val="TableBody"/>
              <w:spacing w:before="0" w:after="0" w:line="252" w:lineRule="auto"/>
              <w:jc w:val="left"/>
            </w:pPr>
            <w:r>
              <w:rPr>
                <w:rFonts w:ascii="Calibri" w:hAnsi="Calibri" w:eastAsia="Calibri"/>
                <w:b w:val="0"/>
                <w:color w:val="111827"/>
                <w:sz w:val="15"/>
              </w:rPr>
              <w:t>POSITIVE / NEGATIVE / ABSENT / UNKNOWN / BLOCKED / CONFLICTED / INCOMPARABLE / REDACTED / EMPTY / NOT_APPLICABLE</w:t>
            </w:r>
          </w:p>
        </w:tc>
        <w:tc>
          <w:tcPr>
            <w:tcW w:type="dxa" w:w="4210"/>
            <w:vAlign w:val="center"/>
          </w:tcPr>
          <w:p>
            <w:pPr>
              <w:pStyle w:val="TableBody"/>
              <w:spacing w:before="0" w:after="0" w:line="252" w:lineRule="auto"/>
              <w:jc w:val="left"/>
            </w:pPr>
            <w:r>
              <w:rPr>
                <w:rFonts w:ascii="Calibri" w:hAnsi="Calibri" w:eastAsia="Calibri"/>
                <w:b w:val="0"/>
                <w:color w:val="111827"/>
                <w:sz w:val="15"/>
              </w:rPr>
              <w:t>The answer's domain condition; never one collapsed null.</w:t>
            </w:r>
          </w:p>
        </w:tc>
      </w:tr>
      <w:tr>
        <w:trPr>
          <w:cantSplit w:val="true"/>
        </w:trPr>
        <w:tc>
          <w:tcPr>
            <w:tcW w:type="dxa" w:w="1650"/>
            <w:vAlign w:val="center"/>
          </w:tcPr>
          <w:p>
            <w:pPr>
              <w:pStyle w:val="TableBody"/>
              <w:spacing w:before="0" w:after="0" w:line="252" w:lineRule="auto"/>
              <w:jc w:val="left"/>
            </w:pPr>
            <w:r>
              <w:rPr>
                <w:rFonts w:ascii="Calibri" w:hAnsi="Calibri" w:eastAsia="Calibri"/>
                <w:b w:val="0"/>
                <w:color w:val="111827"/>
                <w:sz w:val="15"/>
              </w:rPr>
              <w:t>Completion</w:t>
            </w:r>
          </w:p>
        </w:tc>
        <w:tc>
          <w:tcPr>
            <w:tcW w:type="dxa" w:w="3500"/>
            <w:vAlign w:val="center"/>
          </w:tcPr>
          <w:p>
            <w:pPr>
              <w:pStyle w:val="TableBody"/>
              <w:spacing w:before="0" w:after="0" w:line="252" w:lineRule="auto"/>
              <w:jc w:val="left"/>
            </w:pPr>
            <w:r>
              <w:rPr>
                <w:rFonts w:ascii="Calibri" w:hAnsi="Calibri" w:eastAsia="Calibri"/>
                <w:b w:val="0"/>
                <w:color w:val="111827"/>
                <w:sz w:val="15"/>
              </w:rPr>
              <w:t>COMPLETE / PARTIAL / NONE</w:t>
            </w:r>
          </w:p>
        </w:tc>
        <w:tc>
          <w:tcPr>
            <w:tcW w:type="dxa" w:w="4210"/>
            <w:vAlign w:val="center"/>
          </w:tcPr>
          <w:p>
            <w:pPr>
              <w:pStyle w:val="TableBody"/>
              <w:spacing w:before="0" w:after="0" w:line="252" w:lineRule="auto"/>
              <w:jc w:val="left"/>
            </w:pPr>
            <w:r>
              <w:rPr>
                <w:rFonts w:ascii="Calibri" w:hAnsi="Calibri" w:eastAsia="Calibri"/>
                <w:b w:val="0"/>
                <w:color w:val="111827"/>
                <w:sz w:val="15"/>
              </w:rPr>
              <w:t>Coverage of the requested component.</w:t>
            </w:r>
          </w:p>
        </w:tc>
      </w:tr>
      <w:tr>
        <w:trPr>
          <w:cantSplit w:val="true"/>
        </w:trPr>
        <w:tc>
          <w:tcPr>
            <w:tcW w:type="dxa" w:w="1650"/>
            <w:vAlign w:val="center"/>
          </w:tcPr>
          <w:p>
            <w:pPr>
              <w:pStyle w:val="TableBody"/>
              <w:spacing w:before="0" w:after="0" w:line="252" w:lineRule="auto"/>
              <w:jc w:val="left"/>
            </w:pPr>
            <w:r>
              <w:rPr>
                <w:rFonts w:ascii="Calibri" w:hAnsi="Calibri" w:eastAsia="Calibri"/>
                <w:b w:val="0"/>
                <w:color w:val="111827"/>
                <w:sz w:val="15"/>
              </w:rPr>
              <w:t>Structure lifecycle</w:t>
            </w:r>
          </w:p>
        </w:tc>
        <w:tc>
          <w:tcPr>
            <w:tcW w:type="dxa" w:w="3500"/>
            <w:vAlign w:val="center"/>
          </w:tcPr>
          <w:p>
            <w:pPr>
              <w:pStyle w:val="TableBody"/>
              <w:spacing w:before="0" w:after="0" w:line="252" w:lineRule="auto"/>
              <w:jc w:val="left"/>
            </w:pPr>
            <w:r>
              <w:rPr>
                <w:rFonts w:ascii="Calibri" w:hAnsi="Calibri" w:eastAsia="Calibri"/>
                <w:b w:val="0"/>
                <w:color w:val="111827"/>
                <w:sz w:val="15"/>
              </w:rPr>
              <w:t>DORMANT / CANDIDATE / ADMITTED / SEALED / LEASED / REOPENED / RETIRED</w:t>
            </w:r>
          </w:p>
        </w:tc>
        <w:tc>
          <w:tcPr>
            <w:tcW w:type="dxa" w:w="4210"/>
            <w:vAlign w:val="center"/>
          </w:tcPr>
          <w:p>
            <w:pPr>
              <w:pStyle w:val="TableBody"/>
              <w:spacing w:before="0" w:after="0" w:line="252" w:lineRule="auto"/>
              <w:jc w:val="left"/>
            </w:pPr>
            <w:r>
              <w:rPr>
                <w:rFonts w:ascii="Calibri" w:hAnsi="Calibri" w:eastAsia="Calibri"/>
                <w:b w:val="0"/>
                <w:color w:val="111827"/>
                <w:sz w:val="15"/>
              </w:rPr>
              <w:t>Persistence state, not truth state.</w:t>
            </w:r>
          </w:p>
        </w:tc>
      </w:tr>
    </w:tbl>
    <w:p>
      <w:pPr>
        <w:spacing w:after="0"/>
      </w:pPr>
    </w:p>
    <w:tbl>
      <w:tblPr>
        <w:tblW w:type="dxa" w:w="9360"/>
        <w:tblLayout w:type="fixed"/>
        <w:tblLook w:firstColumn="1" w:firstRow="1" w:lastColumn="0" w:lastRow="0" w:noHBand="0" w:noVBand="1" w:val="04A0"/>
        <w:tblInd w:w="120" w:type="dxa"/>
        <w:tblBorders>
          <w:top w:val="single" w:sz="0" w:space="0" w:color="E8EEF5"/>
          <w:left w:val="single" w:sz="0" w:space="0" w:color="E8EEF5"/>
          <w:bottom w:val="single" w:sz="0" w:space="0" w:color="E8EEF5"/>
          <w:right w:val="single" w:sz="0" w:space="0" w:color="E8EEF5"/>
          <w:insideH w:val="single" w:sz="0" w:space="0" w:color="E8EEF5"/>
          <w:insideV w:val="single" w:sz="0" w:space="0" w:color="E8EEF5"/>
        </w:tblBorders>
      </w:tblPr>
      <w:tblGrid>
        <w:gridCol w:w="9360"/>
      </w:tblGrid>
      <w:tr>
        <w:trPr>
          <w:trHeight w:hRule="atLeast"/>
          <w:cantSplit w:val="true"/>
          <w:tblHeader w:val="true"/>
        </w:trPr>
        <w:tc>
          <w:tcPr>
            <w:tcW w:type="dxa" w:w="9360"/>
            <w:tcMar>
              <w:top w:w="80" w:type="dxa"/>
              <w:start w:w="120" w:type="dxa"/>
              <w:bottom w:w="80" w:type="dxa"/>
              <w:end w:w="120" w:type="dxa"/>
            </w:tcMar>
            <w:shd w:fill="E8EEF5" w:val="clear"/>
          </w:tcPr>
          <w:p>
            <w:pPr>
              <w:spacing w:before="20" w:after="20" w:line="276" w:lineRule="auto"/>
            </w:pPr>
            <w:r>
              <w:rPr>
                <w:rFonts w:ascii="Calibri" w:hAnsi="Calibri" w:eastAsia="Calibri"/>
                <w:b/>
                <w:color w:val="2E74B5"/>
                <w:sz w:val="17"/>
              </w:rPr>
              <w:t xml:space="preserve">INDEPENDENCE  </w:t>
            </w:r>
            <w:r>
              <w:rPr>
                <w:rFonts w:ascii="Calibri" w:hAnsi="Calibri" w:eastAsia="Calibri"/>
                <w:color w:val="0B2545"/>
                <w:sz w:val="20"/>
              </w:rPr>
              <w:t>An EARNED Return may correctly report NEGATIVE, ABSENT, or INCOMPARABLE. Domain disposition is an answer; operation outcome states what support was earned for that answer.</w:t>
            </w:r>
          </w:p>
        </w:tc>
      </w:tr>
    </w:tbl>
    <w:p>
      <w:pPr>
        <w:spacing w:after="0"/>
      </w:pPr>
    </w:p>
    <w:p>
      <w:pPr>
        <w:pStyle w:val="Heading2"/>
      </w:pPr>
      <w:r>
        <w:rPr>
          <w:rFonts w:ascii="Calibri" w:hAnsi="Calibri" w:eastAsia="Calibri"/>
        </w:rPr>
        <w:t>Return Envelope</w:t>
      </w:r>
    </w:p>
    <w:p>
      <w:r>
        <w:rPr>
          <w:rFonts w:ascii="Calibri" w:hAnsi="Calibri" w:eastAsia="Calibri"/>
        </w:rPr>
        <w:t>Each component carries: id; native Return; operation outcome; domain disposition; completion; Basis references; Binding references; reverse trace; assumptions; support ceiling; residual; reentry.</w:t>
      </w:r>
    </w:p>
    <w:p>
      <w:r>
        <w:rPr>
          <w:rFonts w:ascii="Calibri" w:hAnsi="Calibri" w:eastAsia="Calibri"/>
        </w:rPr>
        <w:t>Native probabilities, intervals, alternatives, distributions, partial orders, and conflicts remain native. Outcome, disposition, and completion describe support; they do not replace the answer.</w:t>
      </w:r>
    </w:p>
    <w:p>
      <w:pPr>
        <w:pStyle w:val="Heading2"/>
      </w:pPr>
      <w:r>
        <w:rPr>
          <w:rFonts w:ascii="Calibri" w:hAnsi="Calibri" w:eastAsia="Calibri"/>
        </w:rPr>
        <w:t>Exact OPEN certificate</w:t>
      </w:r>
    </w:p>
    <w:p>
      <w:pPr>
        <w:pStyle w:val="ListBullet"/>
      </w:pPr>
      <w:r>
        <w:rPr>
          <w:rFonts w:ascii="Calibri" w:hAnsi="Calibri" w:eastAsia="Calibri"/>
        </w:rPr>
        <w:t>first exact break</w:t>
      </w:r>
    </w:p>
    <w:p>
      <w:pPr>
        <w:pStyle w:val="ListBullet"/>
      </w:pPr>
      <w:r>
        <w:rPr>
          <w:rFonts w:ascii="Calibri" w:hAnsi="Calibri" w:eastAsia="Calibri"/>
        </w:rPr>
        <w:t>deepest independently supported prefix or NONE_EARNED</w:t>
      </w:r>
    </w:p>
    <w:p>
      <w:pPr>
        <w:pStyle w:val="ListBullet"/>
      </w:pPr>
      <w:r>
        <w:rPr>
          <w:rFonts w:ascii="Calibri" w:hAnsi="Calibri" w:eastAsia="Calibri"/>
        </w:rPr>
        <w:t>affected and unaffected Return components</w:t>
      </w:r>
    </w:p>
    <w:p>
      <w:pPr>
        <w:pStyle w:val="ListBullet"/>
      </w:pPr>
      <w:r>
        <w:rPr>
          <w:rFonts w:ascii="Calibri" w:hAnsi="Calibri" w:eastAsia="Calibri"/>
        </w:rPr>
        <w:t>disclosed remaining obligations</w:t>
      </w:r>
    </w:p>
    <w:p>
      <w:pPr>
        <w:pStyle w:val="ListBullet"/>
      </w:pPr>
      <w:r>
        <w:rPr>
          <w:rFonts w:ascii="Calibri" w:hAnsi="Calibri" w:eastAsia="Calibri"/>
        </w:rPr>
        <w:t>needed evidence, event, permission, choice, or capability</w:t>
      </w:r>
    </w:p>
    <w:p>
      <w:pPr>
        <w:pStyle w:val="ListBullet"/>
      </w:pPr>
      <w:r>
        <w:rPr>
          <w:rFonts w:ascii="Calibri" w:hAnsi="Calibri" w:eastAsia="Calibri"/>
        </w:rPr>
        <w:t>reverse evidence</w:t>
      </w:r>
    </w:p>
    <w:p>
      <w:pPr>
        <w:pStyle w:val="ListBullet"/>
      </w:pPr>
      <w:r>
        <w:rPr>
          <w:rFonts w:ascii="Calibri" w:hAnsi="Calibri" w:eastAsia="Calibri"/>
        </w:rPr>
        <w:t>assumptions and support ceiling</w:t>
      </w:r>
    </w:p>
    <w:p>
      <w:pPr>
        <w:pStyle w:val="ListBullet"/>
      </w:pPr>
      <w:r>
        <w:rPr>
          <w:rFonts w:ascii="Calibri" w:hAnsi="Calibri" w:eastAsia="Calibri"/>
        </w:rPr>
        <w:t>earliest useful reentry</w:t>
      </w:r>
    </w:p>
    <w:p>
      <w:pPr>
        <w:pStyle w:val="ListBullet"/>
      </w:pPr>
      <w:r>
        <w:rPr>
          <w:rFonts w:ascii="Calibri" w:hAnsi="Calibri" w:eastAsia="Calibri"/>
        </w:rPr>
        <w:t>artifact fingerprint</w:t>
      </w:r>
    </w:p>
    <w:p>
      <w:pPr>
        <w:pStyle w:val="ListBullet"/>
      </w:pPr>
      <w:r>
        <w:rPr>
          <w:rFonts w:ascii="Calibri" w:hAnsi="Calibri" w:eastAsia="Calibri"/>
        </w:rPr>
        <w:t>unexamined scope</w:t>
      </w:r>
    </w:p>
    <w:tbl>
      <w:tblPr>
        <w:tblW w:type="dxa" w:w="9360"/>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trHeight w:hRule="atLeast"/>
          <w:cantSplit w:val="true"/>
          <w:tblHeader w:val="true"/>
        </w:trPr>
        <w:tc>
          <w:tcPr>
            <w:tcW w:type="dxa" w:w="9360"/>
            <w:tcMar>
              <w:top w:w="80" w:type="dxa"/>
              <w:start w:w="120" w:type="dxa"/>
              <w:bottom w:w="80" w:type="dxa"/>
              <w:end w:w="120" w:type="dxa"/>
            </w:tcMar>
            <w:shd w:fill="F4F6F9" w:val="clear"/>
          </w:tcPr>
          <w:p>
            <w:pPr>
              <w:spacing w:before="20" w:after="20" w:line="276" w:lineRule="auto"/>
            </w:pPr>
            <w:r>
              <w:rPr>
                <w:rFonts w:ascii="Calibri" w:hAnsi="Calibri" w:eastAsia="Calibri"/>
                <w:b/>
                <w:color w:val="2E74B5"/>
                <w:sz w:val="17"/>
              </w:rPr>
              <w:t xml:space="preserve">BOUNDARY  </w:t>
            </w:r>
            <w:r>
              <w:rPr>
                <w:rFonts w:ascii="Calibri" w:hAnsi="Calibri" w:eastAsia="Calibri"/>
                <w:color w:val="0B2545"/>
                <w:sz w:val="20"/>
              </w:rPr>
              <w:t>A fail-fast OPEN closes the record at its exact boundary; it does not claim discovery of every open-world blocker or closure of the unresolved world problem.</w:t>
            </w:r>
          </w:p>
        </w:tc>
      </w:tr>
    </w:tbl>
    <w:p>
      <w:pPr>
        <w:spacing w:after="0"/>
      </w:pPr>
    </w:p>
    <w:p>
      <w:pPr>
        <w:pStyle w:val="Heading2"/>
      </w:pPr>
      <w:r>
        <w:rPr>
          <w:rFonts w:ascii="Calibri" w:hAnsi="Calibri" w:eastAsia="Calibri"/>
        </w:rPr>
        <w:t>Stop only when</w:t>
      </w:r>
    </w:p>
    <w:p>
      <w:pPr>
        <w:pStyle w:val="ListBullet"/>
      </w:pPr>
      <w:r>
        <w:rPr>
          <w:rFonts w:ascii="Calibri" w:hAnsi="Calibri" w:eastAsia="Calibri"/>
        </w:rPr>
        <w:t>Every mandatory Return component is EARNED to its declared risk tier or carries an exact OPEN.</w:t>
      </w:r>
    </w:p>
    <w:p>
      <w:pPr>
        <w:pStyle w:val="ListBullet"/>
      </w:pPr>
      <w:r>
        <w:rPr>
          <w:rFonts w:ascii="Calibri" w:hAnsi="Calibri" w:eastAsia="Calibri"/>
        </w:rPr>
        <w:t>Reverse trace closes for every authoritative component.</w:t>
      </w:r>
    </w:p>
    <w:p>
      <w:pPr>
        <w:pStyle w:val="ListBullet"/>
      </w:pPr>
      <w:r>
        <w:rPr>
          <w:rFonts w:ascii="Calibri" w:hAnsi="Calibri" w:eastAsia="Calibri"/>
        </w:rPr>
        <w:t>No affordable admissible Move plausibly changes the Return, protected conditions, obligation, or earliest useful reentry.</w:t>
      </w:r>
    </w:p>
    <w:p>
      <w:pPr>
        <w:pStyle w:val="ListBullet"/>
      </w:pPr>
      <w:r>
        <w:rPr>
          <w:rFonts w:ascii="Calibri" w:hAnsi="Calibri" w:eastAsia="Calibri"/>
        </w:rPr>
        <w:t>One bounded missing-frame Scout has run since the last narrowing.</w:t>
      </w:r>
    </w:p>
    <w:p>
      <w:pPr>
        <w:pStyle w:val="ListBullet"/>
      </w:pPr>
      <w:r>
        <w:rPr>
          <w:rFonts w:ascii="Calibri" w:hAnsi="Calibri" w:eastAsia="Calibri"/>
        </w:rPr>
        <w:t>Every consequential action is either backed by an external permission witness and qualified adapter or explicitly unexecuted.</w:t>
      </w:r>
    </w:p>
    <w:p>
      <w:r>
        <w:rPr>
          <w:rFonts w:ascii="Calibri" w:hAnsi="Calibri" w:eastAsia="Calibri"/>
        </w:rPr>
        <w:t>Budget exhaustion never converts OPEN into completion. Close every representational obligation or return an exact OPEN. Do not fabricate closure of unresolved world problems.</w:t>
      </w:r>
    </w:p>
    <w:p>
      <w:pPr>
        <w:pStyle w:val="Heading1"/>
      </w:pPr>
      <w:r>
        <w:t>10  Outcome Receipt, learning, and reentry</w:t>
      </w:r>
    </w:p>
    <w:p>
      <w:pPr>
        <w:pStyle w:val="Kicker"/>
        <w:keepNext/>
      </w:pPr>
      <w:r>
        <w:rPr>
          <w:rFonts w:ascii="Calibri" w:hAnsi="Calibri" w:eastAsia="Calibri"/>
          <w:color w:val="667085"/>
        </w:rPr>
        <w:t>The Return is not the world effect; each later stage must earn itself.</w:t>
      </w:r>
    </w:p>
    <w:p>
      <w:pPr>
        <w:pStyle w:val="Lead"/>
        <w:jc w:val="center"/>
      </w:pPr>
      <w:r>
        <w:rPr>
          <w:rFonts w:ascii="Calibri" w:hAnsi="Calibri" w:eastAsia="Calibri"/>
          <w:color w:val="0B2545"/>
        </w:rPr>
        <w:t>recommendation → choice → permission → attempt → execution → occurrence → technical_receipt → observation → evaluation → attribution → effect → durability</w:t>
      </w:r>
    </w:p>
    <w:p>
      <w:r>
        <w:rPr>
          <w:rFonts w:ascii="Calibri" w:hAnsi="Calibri" w:eastAsia="Calibri"/>
        </w:rPr>
        <w:t>Each stage carries its own actor, time, Basis, evidence, and outcome. A later stage never follows automatically from an earlier one. In the 0.1 reference runtime only recommendation may be EARNED; choice through durability, the Successor Signature, and learning remain OPEN or NOT_APPLICABLE until typed external profiles exist.</w:t>
      </w:r>
    </w:p>
    <w:tbl>
      <w:tblPr>
        <w:tblW w:type="dxa" w:w="9360"/>
        <w:tblLayout w:type="fixed"/>
        <w:tblLook w:firstColumn="1" w:firstRow="1" w:lastColumn="0" w:lastRow="0" w:noHBand="0" w:noVBand="1" w:val="04A0"/>
        <w:tblInd w:w="120" w:type="dxa"/>
        <w:tblBorders>
          <w:top w:val="single" w:sz="0" w:space="0" w:color="E8EEF5"/>
          <w:left w:val="single" w:sz="0" w:space="0" w:color="E8EEF5"/>
          <w:bottom w:val="single" w:sz="0" w:space="0" w:color="E8EEF5"/>
          <w:right w:val="single" w:sz="0" w:space="0" w:color="E8EEF5"/>
          <w:insideH w:val="single" w:sz="0" w:space="0" w:color="E8EEF5"/>
          <w:insideV w:val="single" w:sz="0" w:space="0" w:color="E8EEF5"/>
        </w:tblBorders>
      </w:tblPr>
      <w:tblGrid>
        <w:gridCol w:w="9360"/>
      </w:tblGrid>
      <w:tr>
        <w:trPr>
          <w:trHeight w:hRule="atLeast"/>
          <w:cantSplit w:val="true"/>
          <w:tblHeader w:val="true"/>
        </w:trPr>
        <w:tc>
          <w:tcPr>
            <w:tcW w:type="dxa" w:w="9360"/>
            <w:tcMar>
              <w:top w:w="80" w:type="dxa"/>
              <w:start w:w="120" w:type="dxa"/>
              <w:bottom w:w="80" w:type="dxa"/>
              <w:end w:w="120" w:type="dxa"/>
            </w:tcMar>
            <w:shd w:fill="E8EEF5" w:val="clear"/>
          </w:tcPr>
          <w:p>
            <w:pPr>
              <w:spacing w:before="20" w:after="20" w:line="276" w:lineRule="auto"/>
            </w:pPr>
            <w:r>
              <w:rPr>
                <w:rFonts w:ascii="Calibri" w:hAnsi="Calibri" w:eastAsia="Calibri"/>
                <w:b/>
                <w:color w:val="2E74B5"/>
                <w:sz w:val="17"/>
              </w:rPr>
              <w:t xml:space="preserve">0.1 RUNTIME CEILING  </w:t>
            </w:r>
            <w:r>
              <w:rPr>
                <w:rFonts w:ascii="Calibri" w:hAnsi="Calibri" w:eastAsia="Calibri"/>
                <w:color w:val="0B2545"/>
                <w:sz w:val="20"/>
              </w:rPr>
              <w:t>Only recommendation may be EARNED. Choice through durability, successor change, and learning remain OPEN or NOT_APPLICABLE until typed external profiles exist. Runtime PASS establishes carrier conformance, not truth, permission, occurrence, cause, effect, or durability.</w:t>
            </w:r>
          </w:p>
        </w:tc>
      </w:tr>
    </w:tbl>
    <w:p>
      <w:pPr>
        <w:spacing w:after="0"/>
      </w:pP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3250"/>
        <w:gridCol w:w="6110"/>
      </w:tblGrid>
      <w:tr>
        <w:trPr>
          <w:trHeight w:hRule="atLeast"/>
          <w:cantSplit w:val="true"/>
          <w:tblHeader w:val="true"/>
        </w:trPr>
        <w:tc>
          <w:tcPr>
            <w:tcW w:type="dxa" w:w="325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Guard</w:t>
            </w:r>
          </w:p>
        </w:tc>
        <w:tc>
          <w:tcPr>
            <w:tcW w:type="dxa" w:w="6110"/>
            <w:tcMar>
              <w:top w:w="80" w:type="dxa"/>
              <w:start w:w="120" w:type="dxa"/>
              <w:bottom w:w="80" w:type="dxa"/>
              <w:end w:w="120" w:type="dxa"/>
            </w:tcMar>
            <w:shd w:fill="E8EEF5" w:val="clear"/>
            <w:vAlign w:val="center"/>
          </w:tcPr>
          <w:p>
            <w:pPr>
              <w:pStyle w:val="TableBody"/>
              <w:spacing w:before="0" w:after="0" w:line="252" w:lineRule="auto"/>
              <w:jc w:val="left"/>
            </w:pPr>
            <w:r>
              <w:rPr>
                <w:rFonts w:ascii="Calibri" w:hAnsi="Calibri" w:eastAsia="Calibri"/>
                <w:b/>
                <w:color w:val="0B2545"/>
                <w:sz w:val="16"/>
              </w:rPr>
              <w:t>Why it matters</w:t>
            </w:r>
          </w:p>
        </w:tc>
      </w:tr>
      <w:tr>
        <w:trPr>
          <w:cantSplit w:val="true"/>
        </w:trPr>
        <w:tc>
          <w:tcPr>
            <w:tcW w:type="dxa" w:w="3250"/>
            <w:vAlign w:val="center"/>
          </w:tcPr>
          <w:p>
            <w:pPr>
              <w:pStyle w:val="TableBody"/>
              <w:spacing w:before="0" w:after="0" w:line="252" w:lineRule="auto"/>
              <w:jc w:val="left"/>
            </w:pPr>
            <w:r>
              <w:rPr>
                <w:rFonts w:ascii="Calibri" w:hAnsi="Calibri" w:eastAsia="Calibri"/>
                <w:b w:val="0"/>
                <w:color w:val="111827"/>
                <w:sz w:val="16"/>
              </w:rPr>
              <w:t>CHOSEN is not SUPPORTED</w:t>
            </w:r>
          </w:p>
        </w:tc>
        <w:tc>
          <w:tcPr>
            <w:tcW w:type="dxa" w:w="6110"/>
            <w:vAlign w:val="center"/>
          </w:tcPr>
          <w:p>
            <w:pPr>
              <w:pStyle w:val="TableBody"/>
              <w:spacing w:before="0" w:after="0" w:line="252" w:lineRule="auto"/>
              <w:jc w:val="left"/>
            </w:pPr>
            <w:r>
              <w:rPr>
                <w:rFonts w:ascii="Calibri" w:hAnsi="Calibri" w:eastAsia="Calibri"/>
                <w:b w:val="0"/>
                <w:color w:val="111827"/>
                <w:sz w:val="16"/>
              </w:rPr>
              <w:t>Selection does not prove support.</w:t>
            </w:r>
          </w:p>
        </w:tc>
      </w:tr>
      <w:tr>
        <w:trPr>
          <w:cantSplit w:val="true"/>
        </w:trPr>
        <w:tc>
          <w:tcPr>
            <w:tcW w:type="dxa" w:w="3250"/>
            <w:vAlign w:val="center"/>
          </w:tcPr>
          <w:p>
            <w:pPr>
              <w:pStyle w:val="TableBody"/>
              <w:spacing w:before="0" w:after="0" w:line="252" w:lineRule="auto"/>
              <w:jc w:val="left"/>
            </w:pPr>
            <w:r>
              <w:rPr>
                <w:rFonts w:ascii="Calibri" w:hAnsi="Calibri" w:eastAsia="Calibri"/>
                <w:b w:val="0"/>
                <w:color w:val="111827"/>
                <w:sz w:val="16"/>
              </w:rPr>
              <w:t>PERMITTED is not EXECUTED</w:t>
            </w:r>
          </w:p>
        </w:tc>
        <w:tc>
          <w:tcPr>
            <w:tcW w:type="dxa" w:w="6110"/>
            <w:vAlign w:val="center"/>
          </w:tcPr>
          <w:p>
            <w:pPr>
              <w:pStyle w:val="TableBody"/>
              <w:spacing w:before="0" w:after="0" w:line="252" w:lineRule="auto"/>
              <w:jc w:val="left"/>
            </w:pPr>
            <w:r>
              <w:rPr>
                <w:rFonts w:ascii="Calibri" w:hAnsi="Calibri" w:eastAsia="Calibri"/>
                <w:b w:val="0"/>
                <w:color w:val="111827"/>
                <w:sz w:val="16"/>
              </w:rPr>
              <w:t>Authority does not prove occurrence.</w:t>
            </w:r>
          </w:p>
        </w:tc>
      </w:tr>
      <w:tr>
        <w:trPr>
          <w:cantSplit w:val="true"/>
        </w:trPr>
        <w:tc>
          <w:tcPr>
            <w:tcW w:type="dxa" w:w="3250"/>
            <w:vAlign w:val="center"/>
          </w:tcPr>
          <w:p>
            <w:pPr>
              <w:pStyle w:val="TableBody"/>
              <w:spacing w:before="0" w:after="0" w:line="252" w:lineRule="auto"/>
              <w:jc w:val="left"/>
            </w:pPr>
            <w:r>
              <w:rPr>
                <w:rFonts w:ascii="Calibri" w:hAnsi="Calibri" w:eastAsia="Calibri"/>
                <w:b w:val="0"/>
                <w:color w:val="111827"/>
                <w:sz w:val="16"/>
              </w:rPr>
              <w:t>OBSERVED is not ATTRIBUTED</w:t>
            </w:r>
          </w:p>
        </w:tc>
        <w:tc>
          <w:tcPr>
            <w:tcW w:type="dxa" w:w="6110"/>
            <w:vAlign w:val="center"/>
          </w:tcPr>
          <w:p>
            <w:pPr>
              <w:pStyle w:val="TableBody"/>
              <w:spacing w:before="0" w:after="0" w:line="252" w:lineRule="auto"/>
              <w:jc w:val="left"/>
            </w:pPr>
            <w:r>
              <w:rPr>
                <w:rFonts w:ascii="Calibri" w:hAnsi="Calibri" w:eastAsia="Calibri"/>
                <w:b w:val="0"/>
                <w:color w:val="111827"/>
                <w:sz w:val="16"/>
              </w:rPr>
              <w:t>Observation does not prove cause.</w:t>
            </w:r>
          </w:p>
        </w:tc>
      </w:tr>
      <w:tr>
        <w:trPr>
          <w:cantSplit w:val="true"/>
        </w:trPr>
        <w:tc>
          <w:tcPr>
            <w:tcW w:type="dxa" w:w="3250"/>
            <w:vAlign w:val="center"/>
          </w:tcPr>
          <w:p>
            <w:pPr>
              <w:pStyle w:val="TableBody"/>
              <w:spacing w:before="0" w:after="0" w:line="252" w:lineRule="auto"/>
              <w:jc w:val="left"/>
            </w:pPr>
            <w:r>
              <w:rPr>
                <w:rFonts w:ascii="Calibri" w:hAnsi="Calibri" w:eastAsia="Calibri"/>
                <w:b w:val="0"/>
                <w:color w:val="111827"/>
                <w:sz w:val="16"/>
              </w:rPr>
              <w:t>A successful response is not a durable world effect</w:t>
            </w:r>
          </w:p>
        </w:tc>
        <w:tc>
          <w:tcPr>
            <w:tcW w:type="dxa" w:w="6110"/>
            <w:vAlign w:val="center"/>
          </w:tcPr>
          <w:p>
            <w:pPr>
              <w:pStyle w:val="TableBody"/>
              <w:spacing w:before="0" w:after="0" w:line="252" w:lineRule="auto"/>
              <w:jc w:val="left"/>
            </w:pPr>
            <w:r>
              <w:rPr>
                <w:rFonts w:ascii="Calibri" w:hAnsi="Calibri" w:eastAsia="Calibri"/>
                <w:b w:val="0"/>
                <w:color w:val="111827"/>
                <w:sz w:val="16"/>
              </w:rPr>
              <w:t>Immediate success does not establish durable consequence.</w:t>
            </w:r>
          </w:p>
        </w:tc>
      </w:tr>
    </w:tbl>
    <w:p>
      <w:pPr>
        <w:spacing w:after="0"/>
      </w:pPr>
    </w:p>
    <w:p>
      <w:pPr>
        <w:pStyle w:val="Heading2"/>
      </w:pPr>
      <w:r>
        <w:rPr>
          <w:rFonts w:ascii="Calibri" w:hAnsi="Calibri" w:eastAsia="Calibri"/>
        </w:rPr>
        <w:t>Selective reentry</w:t>
      </w:r>
    </w:p>
    <w:p>
      <w:pPr>
        <w:pStyle w:val="ListNumber"/>
        <w:numPr>
          <w:ilvl w:val="0"/>
          <w:numId w:val="11"/>
        </w:numPr>
      </w:pPr>
      <w:r>
        <w:rPr>
          <w:rFonts w:ascii="Calibri" w:hAnsi="Calibri" w:eastAsia="Calibri"/>
        </w:rPr>
        <w:t>Seed invalidation with changed source, Basis, Passage Model, Binding, interpretation, rule, evaluator, permission, tool, or operation IDs.</w:t>
      </w:r>
    </w:p>
    <w:p>
      <w:pPr>
        <w:pStyle w:val="ListNumber"/>
        <w:numPr>
          <w:ilvl w:val="0"/>
          <w:numId w:val="11"/>
        </w:numPr>
      </w:pPr>
      <w:r>
        <w:rPr>
          <w:rFonts w:ascii="Calibri" w:hAnsi="Calibri" w:eastAsia="Calibri"/>
        </w:rPr>
        <w:t>Traverse declared artifact, Hinge, Trial, Binding, Basis, witness, and Return dependencies from each changed ID.</w:t>
      </w:r>
    </w:p>
    <w:p>
      <w:pPr>
        <w:pStyle w:val="ListNumber"/>
        <w:numPr>
          <w:ilvl w:val="0"/>
          <w:numId w:val="11"/>
        </w:numPr>
      </w:pPr>
      <w:r>
        <w:rPr>
          <w:rFonts w:ascii="Calibri" w:hAnsi="Calibri" w:eastAsia="Calibri"/>
        </w:rPr>
        <w:t>Invalidate every transitive reachable Return component; selective Outcome-stage invalidation remains OPEN in the 0.1 reference runtime.</w:t>
      </w:r>
    </w:p>
    <w:p>
      <w:pPr>
        <w:pStyle w:val="ListNumber"/>
        <w:numPr>
          <w:ilvl w:val="0"/>
          <w:numId w:val="11"/>
        </w:numPr>
      </w:pPr>
      <w:r>
        <w:rPr>
          <w:rFonts w:ascii="Calibri" w:hAnsi="Calibri" w:eastAsia="Calibri"/>
        </w:rPr>
        <w:t>Carry an unaffected Return component only when its declared reverse trace is complete and disjoint from every reached change.</w:t>
      </w:r>
    </w:p>
    <w:p>
      <w:pPr>
        <w:pStyle w:val="ListNumber"/>
        <w:numPr>
          <w:ilvl w:val="0"/>
          <w:numId w:val="11"/>
        </w:numPr>
      </w:pPr>
      <w:r>
        <w:rPr>
          <w:rFonts w:ascii="Calibri" w:hAnsi="Calibri" w:eastAsia="Calibri"/>
        </w:rPr>
        <w:t>Treat RUNSPEC or a materially changed request interpretation as global and reopen every Return component.</w:t>
      </w:r>
    </w:p>
    <w:p>
      <w:pPr>
        <w:pStyle w:val="ListNumber"/>
        <w:numPr>
          <w:ilvl w:val="0"/>
          <w:numId w:val="11"/>
        </w:numPr>
      </w:pPr>
      <w:r>
        <w:rPr>
          <w:rFonts w:ascii="Calibri" w:hAnsi="Calibri" w:eastAsia="Calibri"/>
        </w:rPr>
        <w:t>If a Return component lacks a complete declared trace, mark it OPEN instead of carrying it.</w:t>
      </w:r>
    </w:p>
    <w:p>
      <w:pPr>
        <w:pStyle w:val="ListNumber"/>
        <w:numPr>
          <w:ilvl w:val="0"/>
          <w:numId w:val="11"/>
        </w:numPr>
      </w:pPr>
      <w:r>
        <w:rPr>
          <w:rFonts w:ascii="Calibri" w:hAnsi="Calibri" w:eastAsia="Calibri"/>
        </w:rPr>
        <w:t>Supply and validate a complete child RunSpec that maps every changed reference to new Basis material; append Reentry only after validation, initialize the child from that exact RunSpec, and never rewrite the prior prefix.</w:t>
      </w:r>
    </w:p>
    <w:tbl>
      <w:tblPr>
        <w:tblW w:type="dxa" w:w="9360"/>
        <w:tblLayout w:type="fixed"/>
        <w:tblLook w:firstColumn="1" w:firstRow="1" w:lastColumn="0" w:lastRow="0" w:noHBand="0" w:noVBand="1" w:val="04A0"/>
        <w:tblInd w:w="120" w:type="dxa"/>
        <w:tblBorders>
          <w:top w:val="single" w:sz="0" w:space="0" w:color="E8EEF5"/>
          <w:left w:val="single" w:sz="0" w:space="0" w:color="E8EEF5"/>
          <w:bottom w:val="single" w:sz="0" w:space="0" w:color="E8EEF5"/>
          <w:right w:val="single" w:sz="0" w:space="0" w:color="E8EEF5"/>
          <w:insideH w:val="single" w:sz="0" w:space="0" w:color="E8EEF5"/>
          <w:insideV w:val="single" w:sz="0" w:space="0" w:color="E8EEF5"/>
        </w:tblBorders>
      </w:tblPr>
      <w:tblGrid>
        <w:gridCol w:w="9360"/>
      </w:tblGrid>
      <w:tr>
        <w:trPr>
          <w:trHeight w:hRule="atLeast"/>
          <w:cantSplit w:val="true"/>
          <w:tblHeader w:val="true"/>
        </w:trPr>
        <w:tc>
          <w:tcPr>
            <w:tcW w:type="dxa" w:w="9360"/>
            <w:tcMar>
              <w:top w:w="80" w:type="dxa"/>
              <w:start w:w="120" w:type="dxa"/>
              <w:bottom w:w="80" w:type="dxa"/>
              <w:end w:w="120" w:type="dxa"/>
            </w:tcMar>
            <w:shd w:fill="E8EEF5" w:val="clear"/>
          </w:tcPr>
          <w:p>
            <w:pPr>
              <w:spacing w:before="20" w:after="20" w:line="276" w:lineRule="auto"/>
            </w:pPr>
            <w:r>
              <w:rPr>
                <w:rFonts w:ascii="Calibri" w:hAnsi="Calibri" w:eastAsia="Calibri"/>
                <w:b/>
                <w:color w:val="2E74B5"/>
                <w:sz w:val="17"/>
              </w:rPr>
              <w:t xml:space="preserve">FIRST-BREAK RETURN  </w:t>
            </w:r>
            <w:r>
              <w:rPr>
                <w:rFonts w:ascii="Calibri" w:hAnsi="Calibri" w:eastAsia="Calibri"/>
                <w:color w:val="0B2545"/>
                <w:sz w:val="20"/>
              </w:rPr>
              <w:t>Report the first exact break, strongest supported remainder, affected scope, live obligations, and earliest useful probe.</w:t>
            </w:r>
          </w:p>
        </w:tc>
      </w:tr>
    </w:tbl>
    <w:p>
      <w:pPr>
        <w:spacing w:after="0"/>
      </w:pPr>
    </w:p>
    <w:p>
      <w:pPr>
        <w:pStyle w:val="Definition"/>
      </w:pPr>
      <w:r>
        <w:rPr>
          <w:rFonts w:ascii="Calibri" w:hAnsi="Calibri" w:eastAsia="Calibri"/>
        </w:rPr>
        <w:t>The 0.1 runtime validates OutcomeReceipt stage separation and references but does not compute selective stage-level reentry. Until that dependency interface is implemented and tested, a changed dependency with possible Outcome-stage reach leaves those stages OPEN.</w:t>
      </w:r>
    </w:p>
    <w:p>
      <w:pPr>
        <w:pStyle w:val="Heading1"/>
      </w:pPr>
      <w:r>
        <w:t>11  Earned Structure</w:t>
      </w:r>
    </w:p>
    <w:p>
      <w:pPr>
        <w:pStyle w:val="Kicker"/>
        <w:keepNext/>
      </w:pPr>
      <w:r>
        <w:rPr>
          <w:rFonts w:ascii="Calibri" w:hAnsi="Calibri" w:eastAsia="Calibri"/>
          <w:color w:val="667085"/>
        </w:rPr>
        <w:t>Structure exists where compactness becomes dangerous — and disappears where it adds no witnessed value.</w:t>
      </w:r>
    </w:p>
    <w:tbl>
      <w:tblPr>
        <w:tblW w:type="dxa" w:w="9360"/>
        <w:tblLayout w:type="fixed"/>
        <w:tblLook w:firstColumn="1" w:firstRow="1" w:lastColumn="0" w:lastRow="0" w:noHBand="0" w:noVBand="1" w:val="04A0"/>
        <w:tblInd w:w="120" w:type="dxa"/>
        <w:tblBorders>
          <w:top w:val="single" w:sz="0" w:space="0" w:color="E8EEF5"/>
          <w:left w:val="single" w:sz="0" w:space="0" w:color="E8EEF5"/>
          <w:bottom w:val="single" w:sz="0" w:space="0" w:color="E8EEF5"/>
          <w:right w:val="single" w:sz="0" w:space="0" w:color="E8EEF5"/>
          <w:insideH w:val="single" w:sz="0" w:space="0" w:color="E8EEF5"/>
          <w:insideV w:val="single" w:sz="0" w:space="0" w:color="E8EEF5"/>
        </w:tblBorders>
      </w:tblPr>
      <w:tblGrid>
        <w:gridCol w:w="9360"/>
      </w:tblGrid>
      <w:tr>
        <w:trPr>
          <w:trHeight w:hRule="atLeast"/>
          <w:cantSplit w:val="true"/>
          <w:tblHeader w:val="true"/>
        </w:trPr>
        <w:tc>
          <w:tcPr>
            <w:tcW w:type="dxa" w:w="9360"/>
            <w:tcMar>
              <w:top w:w="80" w:type="dxa"/>
              <w:start w:w="120" w:type="dxa"/>
              <w:bottom w:w="80" w:type="dxa"/>
              <w:end w:w="120" w:type="dxa"/>
            </w:tcMar>
            <w:shd w:fill="E8EEF5" w:val="clear"/>
          </w:tcPr>
          <w:p>
            <w:pPr>
              <w:spacing w:before="20" w:after="20" w:line="276" w:lineRule="auto"/>
            </w:pPr>
            <w:r>
              <w:rPr>
                <w:rFonts w:ascii="Calibri" w:hAnsi="Calibri" w:eastAsia="Calibri"/>
                <w:b/>
                <w:color w:val="2E74B5"/>
                <w:sz w:val="17"/>
              </w:rPr>
              <w:t xml:space="preserve">LAW  </w:t>
            </w:r>
            <w:r>
              <w:rPr>
                <w:rFonts w:ascii="Calibri" w:hAnsi="Calibri" w:eastAsia="Calibri"/>
                <w:color w:val="0B2545"/>
                <w:sz w:val="20"/>
              </w:rPr>
              <w:t>Every persistent distinction, relation, term activation, memory, rule, procedure, test, policy, or reusable mechanism must name the Return field it protects, the witness by which it changed that field, its scope and dependencies, its cost and contraindications, and the condition that expires or reopens it. Unwitnessed structure remains dormant. Structure without continuing delta is demoted or retired.</w:t>
            </w:r>
          </w:p>
        </w:tc>
      </w:tr>
    </w:tbl>
    <w:p>
      <w:pPr>
        <w:spacing w:after="0"/>
      </w:pPr>
    </w:p>
    <w:p>
      <w:r>
        <w:rPr>
          <w:rFonts w:ascii="Calibri" w:hAnsi="Calibri" w:eastAsia="Calibri"/>
        </w:rPr>
        <w:t>Earned means admitted for bounded use, not true, optimal, legitimate, safe, or permanent.</w:t>
      </w:r>
    </w:p>
    <w:p>
      <w:pPr>
        <w:pStyle w:val="Heading2"/>
      </w:pPr>
      <w:r>
        <w:rPr>
          <w:rFonts w:ascii="Calibri" w:hAnsi="Calibri" w:eastAsia="Calibri"/>
        </w:rPr>
        <w:t>Promotion ladder</w:t>
      </w:r>
    </w:p>
    <w:p>
      <w:pPr>
        <w:pStyle w:val="Lead"/>
        <w:jc w:val="center"/>
      </w:pPr>
      <w:r>
        <w:rPr>
          <w:rFonts w:ascii="Calibri" w:hAnsi="Calibri" w:eastAsia="Calibri"/>
          <w:color w:val="0B2545"/>
        </w:rPr>
        <w:t>HANDLE → CONTRAST → CANDIDATE_BINDING → ADMITTED_BINDING → SEALED_DEPENDENCY → LEASED_MECHANISM</w:t>
      </w:r>
    </w:p>
    <w:p>
      <w:r>
        <w:rPr>
          <w:rFonts w:ascii="Calibri" w:hAnsi="Calibri" w:eastAsia="Calibri"/>
        </w:rPr>
        <w:t>Promote one level at a time after a matched ablation, countermodel, observed critical error, or selective-reopening test. As density rises, the burden for another connection rises.</w:t>
      </w:r>
    </w:p>
    <w:p>
      <w:r>
        <w:rPr>
          <w:rFonts w:ascii="Calibri" w:hAnsi="Calibri" w:eastAsia="Calibri"/>
        </w:rPr>
        <w:t>If removal, factoring, or a cheaper representation preserves every witnessed Return, safety, obligation, trace, and reentry delta at matched cost, demote or retire the unit.</w:t>
      </w:r>
    </w:p>
    <w:p>
      <w:r>
        <w:rPr>
          <w:rFonts w:ascii="Calibri" w:hAnsi="Calibri" w:eastAsia="Calibri"/>
        </w:rPr>
        <w:t>Shared policy lives once at the field or family level; term entries carry only local delta.</w:t>
      </w:r>
    </w:p>
    <w:p>
      <w:pPr>
        <w:pStyle w:val="Heading2"/>
      </w:pPr>
      <w:r>
        <w:rPr>
          <w:rFonts w:ascii="Calibri" w:hAnsi="Calibri" w:eastAsia="Calibri"/>
        </w:rPr>
        <w:t>Operator contract</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2300"/>
        <w:gridCol w:w="7060"/>
      </w:tblGrid>
      <w:tr>
        <w:trPr>
          <w:trHeight w:hRule="atLeast"/>
          <w:cantSplit w:val="true"/>
          <w:tblHeader w:val="true"/>
        </w:trPr>
        <w:tc>
          <w:tcPr>
            <w:tcW w:type="dxa" w:w="230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Field</w:t>
            </w:r>
          </w:p>
        </w:tc>
        <w:tc>
          <w:tcPr>
            <w:tcW w:type="dxa" w:w="706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Question</w:t>
            </w:r>
          </w:p>
        </w:tc>
      </w:tr>
      <w:tr>
        <w:trPr>
          <w:cantSplit w:val="true"/>
        </w:trPr>
        <w:tc>
          <w:tcPr>
            <w:tcW w:type="dxa" w:w="2300"/>
            <w:vAlign w:val="center"/>
          </w:tcPr>
          <w:p>
            <w:pPr>
              <w:pStyle w:val="TableBody"/>
              <w:spacing w:before="0" w:after="0" w:line="252" w:lineRule="auto"/>
              <w:jc w:val="left"/>
            </w:pPr>
            <w:r>
              <w:rPr>
                <w:rFonts w:ascii="Calibri" w:hAnsi="Calibri" w:eastAsia="Calibri"/>
                <w:b w:val="0"/>
                <w:color w:val="111827"/>
                <w:sz w:val="16"/>
              </w:rPr>
              <w:t>trigger</w:t>
            </w:r>
          </w:p>
        </w:tc>
        <w:tc>
          <w:tcPr>
            <w:tcW w:type="dxa" w:w="7060"/>
            <w:vAlign w:val="center"/>
          </w:tcPr>
          <w:p>
            <w:pPr>
              <w:pStyle w:val="TableBody"/>
              <w:spacing w:before="0" w:after="0" w:line="252" w:lineRule="auto"/>
              <w:jc w:val="left"/>
            </w:pPr>
            <w:r>
              <w:rPr>
                <w:rFonts w:ascii="Calibri" w:hAnsi="Calibri" w:eastAsia="Calibri"/>
                <w:b w:val="0"/>
                <w:color w:val="111827"/>
                <w:sz w:val="16"/>
              </w:rPr>
              <w:t>What condition calls this mechanism?</w:t>
            </w:r>
          </w:p>
        </w:tc>
      </w:tr>
      <w:tr>
        <w:trPr>
          <w:cantSplit w:val="true"/>
        </w:trPr>
        <w:tc>
          <w:tcPr>
            <w:tcW w:type="dxa" w:w="2300"/>
            <w:vAlign w:val="center"/>
          </w:tcPr>
          <w:p>
            <w:pPr>
              <w:pStyle w:val="TableBody"/>
              <w:spacing w:before="0" w:after="0" w:line="252" w:lineRule="auto"/>
              <w:jc w:val="left"/>
            </w:pPr>
            <w:r>
              <w:rPr>
                <w:rFonts w:ascii="Calibri" w:hAnsi="Calibri" w:eastAsia="Calibri"/>
                <w:b w:val="0"/>
                <w:color w:val="111827"/>
                <w:sz w:val="16"/>
              </w:rPr>
              <w:t>requirements</w:t>
            </w:r>
          </w:p>
        </w:tc>
        <w:tc>
          <w:tcPr>
            <w:tcW w:type="dxa" w:w="7060"/>
            <w:vAlign w:val="center"/>
          </w:tcPr>
          <w:p>
            <w:pPr>
              <w:pStyle w:val="TableBody"/>
              <w:spacing w:before="0" w:after="0" w:line="252" w:lineRule="auto"/>
              <w:jc w:val="left"/>
            </w:pPr>
            <w:r>
              <w:rPr>
                <w:rFonts w:ascii="Calibri" w:hAnsi="Calibri" w:eastAsia="Calibri"/>
                <w:b w:val="0"/>
                <w:color w:val="111827"/>
                <w:sz w:val="16"/>
              </w:rPr>
              <w:t>What must already be present?</w:t>
            </w:r>
          </w:p>
        </w:tc>
      </w:tr>
      <w:tr>
        <w:trPr>
          <w:cantSplit w:val="true"/>
        </w:trPr>
        <w:tc>
          <w:tcPr>
            <w:tcW w:type="dxa" w:w="2300"/>
            <w:vAlign w:val="center"/>
          </w:tcPr>
          <w:p>
            <w:pPr>
              <w:pStyle w:val="TableBody"/>
              <w:spacing w:before="0" w:after="0" w:line="252" w:lineRule="auto"/>
              <w:jc w:val="left"/>
            </w:pPr>
            <w:r>
              <w:rPr>
                <w:rFonts w:ascii="Calibri" w:hAnsi="Calibri" w:eastAsia="Calibri"/>
                <w:b w:val="0"/>
                <w:color w:val="111827"/>
                <w:sz w:val="16"/>
              </w:rPr>
              <w:t>intervention</w:t>
            </w:r>
          </w:p>
        </w:tc>
        <w:tc>
          <w:tcPr>
            <w:tcW w:type="dxa" w:w="7060"/>
            <w:vAlign w:val="center"/>
          </w:tcPr>
          <w:p>
            <w:pPr>
              <w:pStyle w:val="TableBody"/>
              <w:spacing w:before="0" w:after="0" w:line="252" w:lineRule="auto"/>
              <w:jc w:val="left"/>
            </w:pPr>
            <w:r>
              <w:rPr>
                <w:rFonts w:ascii="Calibri" w:hAnsi="Calibri" w:eastAsia="Calibri"/>
                <w:b w:val="0"/>
                <w:color w:val="111827"/>
                <w:sz w:val="16"/>
              </w:rPr>
              <w:t>What exactly changes?</w:t>
            </w:r>
          </w:p>
        </w:tc>
      </w:tr>
      <w:tr>
        <w:trPr>
          <w:cantSplit w:val="true"/>
        </w:trPr>
        <w:tc>
          <w:tcPr>
            <w:tcW w:type="dxa" w:w="2300"/>
            <w:vAlign w:val="center"/>
          </w:tcPr>
          <w:p>
            <w:pPr>
              <w:pStyle w:val="TableBody"/>
              <w:spacing w:before="0" w:after="0" w:line="252" w:lineRule="auto"/>
              <w:jc w:val="left"/>
            </w:pPr>
            <w:r>
              <w:rPr>
                <w:rFonts w:ascii="Calibri" w:hAnsi="Calibri" w:eastAsia="Calibri"/>
                <w:b w:val="0"/>
                <w:color w:val="111827"/>
                <w:sz w:val="16"/>
              </w:rPr>
              <w:t>expected changed field</w:t>
            </w:r>
          </w:p>
        </w:tc>
        <w:tc>
          <w:tcPr>
            <w:tcW w:type="dxa" w:w="7060"/>
            <w:vAlign w:val="center"/>
          </w:tcPr>
          <w:p>
            <w:pPr>
              <w:pStyle w:val="TableBody"/>
              <w:spacing w:before="0" w:after="0" w:line="252" w:lineRule="auto"/>
              <w:jc w:val="left"/>
            </w:pPr>
            <w:r>
              <w:rPr>
                <w:rFonts w:ascii="Calibri" w:hAnsi="Calibri" w:eastAsia="Calibri"/>
                <w:b w:val="0"/>
                <w:color w:val="111827"/>
                <w:sz w:val="16"/>
              </w:rPr>
              <w:t>Which declared Return or protected field can change?</w:t>
            </w:r>
          </w:p>
        </w:tc>
      </w:tr>
      <w:tr>
        <w:trPr>
          <w:cantSplit w:val="true"/>
        </w:trPr>
        <w:tc>
          <w:tcPr>
            <w:tcW w:type="dxa" w:w="2300"/>
            <w:vAlign w:val="center"/>
          </w:tcPr>
          <w:p>
            <w:pPr>
              <w:pStyle w:val="TableBody"/>
              <w:spacing w:before="0" w:after="0" w:line="252" w:lineRule="auto"/>
              <w:jc w:val="left"/>
            </w:pPr>
            <w:r>
              <w:rPr>
                <w:rFonts w:ascii="Calibri" w:hAnsi="Calibri" w:eastAsia="Calibri"/>
                <w:b w:val="0"/>
                <w:color w:val="111827"/>
                <w:sz w:val="16"/>
              </w:rPr>
              <w:t>falsifier</w:t>
            </w:r>
          </w:p>
        </w:tc>
        <w:tc>
          <w:tcPr>
            <w:tcW w:type="dxa" w:w="7060"/>
            <w:vAlign w:val="center"/>
          </w:tcPr>
          <w:p>
            <w:pPr>
              <w:pStyle w:val="TableBody"/>
              <w:spacing w:before="0" w:after="0" w:line="252" w:lineRule="auto"/>
              <w:jc w:val="left"/>
            </w:pPr>
            <w:r>
              <w:rPr>
                <w:rFonts w:ascii="Calibri" w:hAnsi="Calibri" w:eastAsia="Calibri"/>
                <w:b w:val="0"/>
                <w:color w:val="111827"/>
                <w:sz w:val="16"/>
              </w:rPr>
              <w:t>What would show no useful delta?</w:t>
            </w:r>
          </w:p>
        </w:tc>
      </w:tr>
      <w:tr>
        <w:trPr>
          <w:cantSplit w:val="true"/>
        </w:trPr>
        <w:tc>
          <w:tcPr>
            <w:tcW w:type="dxa" w:w="2300"/>
            <w:vAlign w:val="center"/>
          </w:tcPr>
          <w:p>
            <w:pPr>
              <w:pStyle w:val="TableBody"/>
              <w:spacing w:before="0" w:after="0" w:line="252" w:lineRule="auto"/>
              <w:jc w:val="left"/>
            </w:pPr>
            <w:r>
              <w:rPr>
                <w:rFonts w:ascii="Calibri" w:hAnsi="Calibri" w:eastAsia="Calibri"/>
                <w:b w:val="0"/>
                <w:color w:val="111827"/>
                <w:sz w:val="16"/>
              </w:rPr>
              <w:t>cost</w:t>
            </w:r>
          </w:p>
        </w:tc>
        <w:tc>
          <w:tcPr>
            <w:tcW w:type="dxa" w:w="7060"/>
            <w:vAlign w:val="center"/>
          </w:tcPr>
          <w:p>
            <w:pPr>
              <w:pStyle w:val="TableBody"/>
              <w:spacing w:before="0" w:after="0" w:line="252" w:lineRule="auto"/>
              <w:jc w:val="left"/>
            </w:pPr>
            <w:r>
              <w:rPr>
                <w:rFonts w:ascii="Calibri" w:hAnsi="Calibri" w:eastAsia="Calibri"/>
                <w:b w:val="0"/>
                <w:color w:val="111827"/>
                <w:sz w:val="16"/>
              </w:rPr>
              <w:t>Tokens, calls, time, complexity, interference, risk.</w:t>
            </w:r>
          </w:p>
        </w:tc>
      </w:tr>
      <w:tr>
        <w:trPr>
          <w:cantSplit w:val="true"/>
        </w:trPr>
        <w:tc>
          <w:tcPr>
            <w:tcW w:type="dxa" w:w="2300"/>
            <w:vAlign w:val="center"/>
          </w:tcPr>
          <w:p>
            <w:pPr>
              <w:pStyle w:val="TableBody"/>
              <w:spacing w:before="0" w:after="0" w:line="252" w:lineRule="auto"/>
              <w:jc w:val="left"/>
            </w:pPr>
            <w:r>
              <w:rPr>
                <w:rFonts w:ascii="Calibri" w:hAnsi="Calibri" w:eastAsia="Calibri"/>
                <w:b w:val="0"/>
                <w:color w:val="111827"/>
                <w:sz w:val="16"/>
              </w:rPr>
              <w:t>contraindications</w:t>
            </w:r>
          </w:p>
        </w:tc>
        <w:tc>
          <w:tcPr>
            <w:tcW w:type="dxa" w:w="7060"/>
            <w:vAlign w:val="center"/>
          </w:tcPr>
          <w:p>
            <w:pPr>
              <w:pStyle w:val="TableBody"/>
              <w:spacing w:before="0" w:after="0" w:line="252" w:lineRule="auto"/>
              <w:jc w:val="left"/>
            </w:pPr>
            <w:r>
              <w:rPr>
                <w:rFonts w:ascii="Calibri" w:hAnsi="Calibri" w:eastAsia="Calibri"/>
                <w:b w:val="0"/>
                <w:color w:val="111827"/>
                <w:sz w:val="16"/>
              </w:rPr>
              <w:t>When can this mechanism make the result worse?</w:t>
            </w:r>
          </w:p>
        </w:tc>
      </w:tr>
      <w:tr>
        <w:trPr>
          <w:cantSplit w:val="true"/>
        </w:trPr>
        <w:tc>
          <w:tcPr>
            <w:tcW w:type="dxa" w:w="2300"/>
            <w:vAlign w:val="center"/>
          </w:tcPr>
          <w:p>
            <w:pPr>
              <w:pStyle w:val="TableBody"/>
              <w:spacing w:before="0" w:after="0" w:line="252" w:lineRule="auto"/>
              <w:jc w:val="left"/>
            </w:pPr>
            <w:r>
              <w:rPr>
                <w:rFonts w:ascii="Calibri" w:hAnsi="Calibri" w:eastAsia="Calibri"/>
                <w:b w:val="0"/>
                <w:color w:val="111827"/>
                <w:sz w:val="16"/>
              </w:rPr>
              <w:t>scope</w:t>
            </w:r>
          </w:p>
        </w:tc>
        <w:tc>
          <w:tcPr>
            <w:tcW w:type="dxa" w:w="7060"/>
            <w:vAlign w:val="center"/>
          </w:tcPr>
          <w:p>
            <w:pPr>
              <w:pStyle w:val="TableBody"/>
              <w:spacing w:before="0" w:after="0" w:line="252" w:lineRule="auto"/>
              <w:jc w:val="left"/>
            </w:pPr>
            <w:r>
              <w:rPr>
                <w:rFonts w:ascii="Calibri" w:hAnsi="Calibri" w:eastAsia="Calibri"/>
                <w:b w:val="0"/>
                <w:color w:val="111827"/>
                <w:sz w:val="16"/>
              </w:rPr>
              <w:t>Where is the admission valid?</w:t>
            </w:r>
          </w:p>
        </w:tc>
      </w:tr>
      <w:tr>
        <w:trPr>
          <w:cantSplit w:val="true"/>
        </w:trPr>
        <w:tc>
          <w:tcPr>
            <w:tcW w:type="dxa" w:w="2300"/>
            <w:vAlign w:val="center"/>
          </w:tcPr>
          <w:p>
            <w:pPr>
              <w:pStyle w:val="TableBody"/>
              <w:spacing w:before="0" w:after="0" w:line="252" w:lineRule="auto"/>
              <w:jc w:val="left"/>
            </w:pPr>
            <w:r>
              <w:rPr>
                <w:rFonts w:ascii="Calibri" w:hAnsi="Calibri" w:eastAsia="Calibri"/>
                <w:b w:val="0"/>
                <w:color w:val="111827"/>
                <w:sz w:val="16"/>
              </w:rPr>
              <w:t>evidence</w:t>
            </w:r>
          </w:p>
        </w:tc>
        <w:tc>
          <w:tcPr>
            <w:tcW w:type="dxa" w:w="7060"/>
            <w:vAlign w:val="center"/>
          </w:tcPr>
          <w:p>
            <w:pPr>
              <w:pStyle w:val="TableBody"/>
              <w:spacing w:before="0" w:after="0" w:line="252" w:lineRule="auto"/>
              <w:jc w:val="left"/>
            </w:pPr>
            <w:r>
              <w:rPr>
                <w:rFonts w:ascii="Calibri" w:hAnsi="Calibri" w:eastAsia="Calibri"/>
                <w:b w:val="0"/>
                <w:color w:val="111827"/>
                <w:sz w:val="16"/>
              </w:rPr>
              <w:t>What witnessed the delta?</w:t>
            </w:r>
          </w:p>
        </w:tc>
      </w:tr>
      <w:tr>
        <w:trPr>
          <w:cantSplit w:val="true"/>
        </w:trPr>
        <w:tc>
          <w:tcPr>
            <w:tcW w:type="dxa" w:w="2300"/>
            <w:vAlign w:val="center"/>
          </w:tcPr>
          <w:p>
            <w:pPr>
              <w:pStyle w:val="TableBody"/>
              <w:spacing w:before="0" w:after="0" w:line="252" w:lineRule="auto"/>
              <w:jc w:val="left"/>
            </w:pPr>
            <w:r>
              <w:rPr>
                <w:rFonts w:ascii="Calibri" w:hAnsi="Calibri" w:eastAsia="Calibri"/>
                <w:b w:val="0"/>
                <w:color w:val="111827"/>
                <w:sz w:val="16"/>
              </w:rPr>
              <w:t>lease</w:t>
            </w:r>
          </w:p>
        </w:tc>
        <w:tc>
          <w:tcPr>
            <w:tcW w:type="dxa" w:w="7060"/>
            <w:vAlign w:val="center"/>
          </w:tcPr>
          <w:p>
            <w:pPr>
              <w:pStyle w:val="TableBody"/>
              <w:spacing w:before="0" w:after="0" w:line="252" w:lineRule="auto"/>
              <w:jc w:val="left"/>
            </w:pPr>
            <w:r>
              <w:rPr>
                <w:rFonts w:ascii="Calibri" w:hAnsi="Calibri" w:eastAsia="Calibri"/>
                <w:b w:val="0"/>
                <w:color w:val="111827"/>
                <w:sz w:val="16"/>
              </w:rPr>
              <w:t>When does it expire or reopen?</w:t>
            </w:r>
          </w:p>
        </w:tc>
      </w:tr>
    </w:tbl>
    <w:p>
      <w:pPr>
        <w:spacing w:after="0"/>
      </w:pPr>
    </w:p>
    <w:p>
      <w:pPr>
        <w:pStyle w:val="Heading1"/>
      </w:pPr>
      <w:r>
        <w:t>12  Exact-language reference</w:t>
      </w:r>
    </w:p>
    <w:p>
      <w:pPr>
        <w:pStyle w:val="Kicker"/>
        <w:keepNext/>
      </w:pPr>
      <w:r>
        <w:rPr>
          <w:rFonts w:ascii="Calibri" w:hAnsi="Calibri" w:eastAsia="Calibri"/>
          <w:color w:val="667085"/>
        </w:rPr>
        <w:t>Connective terms only. The full searchable 762-term field remains package-side and dormant.</w:t>
      </w:r>
    </w:p>
    <w:p>
      <w:pPr>
        <w:pStyle w:val="Heading2"/>
      </w:pPr>
      <w:r>
        <w:rPr>
          <w:rFonts w:ascii="Calibri" w:hAnsi="Calibri" w:eastAsia="Calibri"/>
        </w:rPr>
        <w:t>Core contracts</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900"/>
        <w:gridCol w:w="7460"/>
      </w:tblGrid>
      <w:tr>
        <w:trPr>
          <w:trHeight w:hRule="atLeast"/>
          <w:cantSplit w:val="true"/>
          <w:tblHeader w:val="true"/>
        </w:trPr>
        <w:tc>
          <w:tcPr>
            <w:tcW w:type="dxa" w:w="190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Term</w:t>
            </w:r>
          </w:p>
        </w:tc>
        <w:tc>
          <w:tcPr>
            <w:tcW w:type="dxa" w:w="746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Exact use</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Reality</w:t>
            </w:r>
          </w:p>
        </w:tc>
        <w:tc>
          <w:tcPr>
            <w:tcW w:type="dxa" w:w="7460"/>
            <w:vAlign w:val="center"/>
          </w:tcPr>
          <w:p>
            <w:pPr>
              <w:pStyle w:val="TableBody"/>
              <w:spacing w:before="0" w:after="0" w:line="252" w:lineRule="auto"/>
              <w:jc w:val="left"/>
            </w:pPr>
            <w:r>
              <w:rPr>
                <w:rFonts w:ascii="Calibri" w:hAnsi="Calibri" w:eastAsia="Calibri"/>
                <w:b w:val="0"/>
                <w:color w:val="111827"/>
                <w:sz w:val="16"/>
              </w:rPr>
              <w:t>What occurs independently of the architecture's representations; never contained by the system.</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Regime</w:t>
            </w:r>
          </w:p>
        </w:tc>
        <w:tc>
          <w:tcPr>
            <w:tcW w:type="dxa" w:w="7460"/>
            <w:vAlign w:val="center"/>
          </w:tcPr>
          <w:p>
            <w:pPr>
              <w:pStyle w:val="TableBody"/>
              <w:spacing w:before="0" w:after="0" w:line="252" w:lineRule="auto"/>
              <w:jc w:val="left"/>
            </w:pPr>
            <w:r>
              <w:rPr>
                <w:rFonts w:ascii="Calibri" w:hAnsi="Calibri" w:eastAsia="Calibri"/>
                <w:b w:val="0"/>
                <w:color w:val="111827"/>
                <w:sz w:val="16"/>
              </w:rPr>
              <w:t>A versioned local vocabulary, rule set, verifier boundary, authority structure, and capability context.</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Demand</w:t>
            </w:r>
          </w:p>
        </w:tc>
        <w:tc>
          <w:tcPr>
            <w:tcW w:type="dxa" w:w="7460"/>
            <w:vAlign w:val="center"/>
          </w:tcPr>
          <w:p>
            <w:pPr>
              <w:pStyle w:val="TableBody"/>
              <w:spacing w:before="0" w:after="0" w:line="252" w:lineRule="auto"/>
              <w:jc w:val="left"/>
            </w:pPr>
            <w:r>
              <w:rPr>
                <w:rFonts w:ascii="Calibri" w:hAnsi="Calibri" w:eastAsia="Calibri"/>
                <w:b w:val="0"/>
                <w:color w:val="111827"/>
                <w:sz w:val="16"/>
              </w:rPr>
              <w:t>The requested Return, intended use, criteria, protected conditions, horizon, and required standing.</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Basis</w:t>
            </w:r>
          </w:p>
        </w:tc>
        <w:tc>
          <w:tcPr>
            <w:tcW w:type="dxa" w:w="7460"/>
            <w:vAlign w:val="center"/>
          </w:tcPr>
          <w:p>
            <w:pPr>
              <w:pStyle w:val="TableBody"/>
              <w:spacing w:before="0" w:after="0" w:line="252" w:lineRule="auto"/>
              <w:jc w:val="left"/>
            </w:pPr>
            <w:r>
              <w:rPr>
                <w:rFonts w:ascii="Calibri" w:hAnsi="Calibri" w:eastAsia="Calibri"/>
                <w:b w:val="0"/>
                <w:color w:val="111827"/>
                <w:sz w:val="16"/>
              </w:rPr>
              <w:t>The exact source, evidence, assumptions, rules, versions, dependencies, and uncertainty used for one bounded result; inclusion does not prove correctness.</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Return</w:t>
            </w:r>
          </w:p>
        </w:tc>
        <w:tc>
          <w:tcPr>
            <w:tcW w:type="dxa" w:w="7460"/>
            <w:vAlign w:val="center"/>
          </w:tcPr>
          <w:p>
            <w:pPr>
              <w:pStyle w:val="TableBody"/>
              <w:spacing w:before="0" w:after="0" w:line="252" w:lineRule="auto"/>
              <w:jc w:val="left"/>
            </w:pPr>
            <w:r>
              <w:rPr>
                <w:rFonts w:ascii="Calibri" w:hAnsi="Calibri" w:eastAsia="Calibri"/>
                <w:b w:val="0"/>
                <w:color w:val="111827"/>
                <w:sz w:val="16"/>
              </w:rPr>
              <w:t>One requested answer, artifact, decision input, action contract, or other deliverable component under a Demand; it is not automatically an outcome or world effect.</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ProtectedCondition</w:t>
            </w:r>
          </w:p>
        </w:tc>
        <w:tc>
          <w:tcPr>
            <w:tcW w:type="dxa" w:w="7460"/>
            <w:vAlign w:val="center"/>
          </w:tcPr>
          <w:p>
            <w:pPr>
              <w:pStyle w:val="TableBody"/>
              <w:spacing w:before="0" w:after="0" w:line="252" w:lineRule="auto"/>
              <w:jc w:val="left"/>
            </w:pPr>
            <w:r>
              <w:rPr>
                <w:rFonts w:ascii="Calibri" w:hAnsi="Calibri" w:eastAsia="Calibri"/>
                <w:b w:val="0"/>
                <w:color w:val="111827"/>
                <w:sz w:val="16"/>
              </w:rPr>
              <w:t>A declared condition that may not be traded away, weakened, or crossed without its governing rule and authority.</w:t>
            </w:r>
          </w:p>
        </w:tc>
      </w:tr>
    </w:tbl>
    <w:p>
      <w:pPr>
        <w:spacing w:after="0"/>
      </w:pP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900"/>
        <w:gridCol w:w="7460"/>
      </w:tblGrid>
      <w:tr>
        <w:trPr>
          <w:trHeight w:hRule="atLeast"/>
          <w:cantSplit w:val="true"/>
          <w:tblHeader w:val="true"/>
        </w:trPr>
        <w:tc>
          <w:tcPr>
            <w:tcW w:type="dxa" w:w="190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Term</w:t>
            </w:r>
          </w:p>
        </w:tc>
        <w:tc>
          <w:tcPr>
            <w:tcW w:type="dxa" w:w="746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Exact use</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Evidence</w:t>
            </w:r>
          </w:p>
        </w:tc>
        <w:tc>
          <w:tcPr>
            <w:tcW w:type="dxa" w:w="7460"/>
            <w:vAlign w:val="center"/>
          </w:tcPr>
          <w:p>
            <w:pPr>
              <w:pStyle w:val="TableBody"/>
              <w:spacing w:before="0" w:after="0" w:line="252" w:lineRule="auto"/>
              <w:jc w:val="left"/>
            </w:pPr>
            <w:r>
              <w:rPr>
                <w:rFonts w:ascii="Calibri" w:hAnsi="Calibri" w:eastAsia="Calibri"/>
                <w:b w:val="0"/>
                <w:color w:val="111827"/>
                <w:sz w:val="16"/>
              </w:rPr>
              <w:t>Material offered in support of a claim or discriminator; evidence is not automatically warrant, truth, independence, or sufficient coverage.</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Warrant</w:t>
            </w:r>
          </w:p>
        </w:tc>
        <w:tc>
          <w:tcPr>
            <w:tcW w:type="dxa" w:w="7460"/>
            <w:vAlign w:val="center"/>
          </w:tcPr>
          <w:p>
            <w:pPr>
              <w:pStyle w:val="TableBody"/>
              <w:spacing w:before="0" w:after="0" w:line="252" w:lineRule="auto"/>
              <w:jc w:val="left"/>
            </w:pPr>
            <w:r>
              <w:rPr>
                <w:rFonts w:ascii="Calibri" w:hAnsi="Calibri" w:eastAsia="Calibri"/>
                <w:b w:val="0"/>
                <w:color w:val="111827"/>
                <w:sz w:val="16"/>
              </w:rPr>
              <w:t>A declared rule that licenses a bounded inference from Basis or Evidence to a Claim under a Regime.</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Judgment</w:t>
            </w:r>
          </w:p>
        </w:tc>
        <w:tc>
          <w:tcPr>
            <w:tcW w:type="dxa" w:w="7460"/>
            <w:vAlign w:val="center"/>
          </w:tcPr>
          <w:p>
            <w:pPr>
              <w:pStyle w:val="TableBody"/>
              <w:spacing w:before="0" w:after="0" w:line="252" w:lineRule="auto"/>
              <w:jc w:val="left"/>
            </w:pPr>
            <w:r>
              <w:rPr>
                <w:rFonts w:ascii="Calibri" w:hAnsi="Calibri" w:eastAsia="Calibri"/>
                <w:b w:val="0"/>
                <w:color w:val="111827"/>
                <w:sz w:val="16"/>
              </w:rPr>
              <w:t>A Basis-indexed conclusion formed under a declared rule and verifier.</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Standing</w:t>
            </w:r>
          </w:p>
        </w:tc>
        <w:tc>
          <w:tcPr>
            <w:tcW w:type="dxa" w:w="7460"/>
            <w:vAlign w:val="center"/>
          </w:tcPr>
          <w:p>
            <w:pPr>
              <w:pStyle w:val="TableBody"/>
              <w:spacing w:before="0" w:after="0" w:line="252" w:lineRule="auto"/>
              <w:jc w:val="left"/>
            </w:pPr>
            <w:r>
              <w:rPr>
                <w:rFonts w:ascii="Calibri" w:hAnsi="Calibri" w:eastAsia="Calibri"/>
                <w:b w:val="0"/>
                <w:color w:val="111827"/>
                <w:sz w:val="16"/>
              </w:rPr>
              <w:t>Destination-local, bounded permission or acceptance to rely on a Judgment for a declared use; not truth, occurrence, permission to act, or effect.</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Obligation</w:t>
            </w:r>
          </w:p>
        </w:tc>
        <w:tc>
          <w:tcPr>
            <w:tcW w:type="dxa" w:w="7460"/>
            <w:vAlign w:val="center"/>
          </w:tcPr>
          <w:p>
            <w:pPr>
              <w:pStyle w:val="TableBody"/>
              <w:spacing w:before="0" w:after="0" w:line="252" w:lineRule="auto"/>
              <w:jc w:val="left"/>
            </w:pPr>
            <w:r>
              <w:rPr>
                <w:rFonts w:ascii="Calibri" w:hAnsi="Calibri" w:eastAsia="Calibri"/>
                <w:b w:val="0"/>
                <w:color w:val="111827"/>
                <w:sz w:val="16"/>
              </w:rPr>
              <w:t>A condition that must close, be rejected, or remain exact OPEN before a Return, Standing, or action may claim completion.</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EvidenceClass</w:t>
            </w:r>
          </w:p>
        </w:tc>
        <w:tc>
          <w:tcPr>
            <w:tcW w:type="dxa" w:w="7460"/>
            <w:vAlign w:val="center"/>
          </w:tcPr>
          <w:p>
            <w:pPr>
              <w:pStyle w:val="TableBody"/>
              <w:spacing w:before="0" w:after="0" w:line="252" w:lineRule="auto"/>
              <w:jc w:val="left"/>
            </w:pPr>
            <w:r>
              <w:rPr>
                <w:rFonts w:ascii="Calibri" w:hAnsi="Calibri" w:eastAsia="Calibri"/>
                <w:b w:val="0"/>
                <w:color w:val="111827"/>
                <w:sz w:val="16"/>
              </w:rPr>
              <w:t>A set of results sharing material origin lineage, builder, comparator, oracle, or data source; row multiplication inside one class does not create independence.</w:t>
            </w:r>
          </w:p>
        </w:tc>
      </w:tr>
    </w:tbl>
    <w:p>
      <w:pPr>
        <w:spacing w:after="0"/>
      </w:pP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900"/>
        <w:gridCol w:w="7460"/>
      </w:tblGrid>
      <w:tr>
        <w:trPr>
          <w:trHeight w:hRule="atLeast"/>
          <w:cantSplit w:val="true"/>
          <w:tblHeader w:val="true"/>
        </w:trPr>
        <w:tc>
          <w:tcPr>
            <w:tcW w:type="dxa" w:w="190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Term</w:t>
            </w:r>
          </w:p>
        </w:tc>
        <w:tc>
          <w:tcPr>
            <w:tcW w:type="dxa" w:w="746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Exact use</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Field</w:t>
            </w:r>
          </w:p>
        </w:tc>
        <w:tc>
          <w:tcPr>
            <w:tcW w:type="dxa" w:w="7460"/>
            <w:vAlign w:val="center"/>
          </w:tcPr>
          <w:p>
            <w:pPr>
              <w:pStyle w:val="TableBody"/>
              <w:spacing w:before="0" w:after="0" w:line="252" w:lineRule="auto"/>
              <w:jc w:val="left"/>
            </w:pPr>
            <w:r>
              <w:rPr>
                <w:rFonts w:ascii="Calibri" w:hAnsi="Calibri" w:eastAsia="Calibri"/>
                <w:b w:val="0"/>
                <w:color w:val="111827"/>
                <w:sz w:val="16"/>
              </w:rPr>
              <w:t>A reachable address and probe reserve; membership, retrieval, frequency, or grouping asserts nothing.</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View</w:t>
            </w:r>
          </w:p>
        </w:tc>
        <w:tc>
          <w:tcPr>
            <w:tcW w:type="dxa" w:w="7460"/>
            <w:vAlign w:val="center"/>
          </w:tcPr>
          <w:p>
            <w:pPr>
              <w:pStyle w:val="TableBody"/>
              <w:spacing w:before="0" w:after="0" w:line="252" w:lineRule="auto"/>
              <w:jc w:val="left"/>
            </w:pPr>
            <w:r>
              <w:rPr>
                <w:rFonts w:ascii="Calibri" w:hAnsi="Calibri" w:eastAsia="Calibri"/>
                <w:b w:val="0"/>
                <w:color w:val="111827"/>
                <w:sz w:val="16"/>
              </w:rPr>
              <w:t>A derived projection for a reading or operating purpose; it has no editable authority and expires with its source keys.</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Binding</w:t>
            </w:r>
          </w:p>
        </w:tc>
        <w:tc>
          <w:tcPr>
            <w:tcW w:type="dxa" w:w="7460"/>
            <w:vAlign w:val="center"/>
          </w:tcPr>
          <w:p>
            <w:pPr>
              <w:pStyle w:val="TableBody"/>
              <w:spacing w:before="0" w:after="0" w:line="252" w:lineRule="auto"/>
              <w:jc w:val="left"/>
            </w:pPr>
            <w:r>
              <w:rPr>
                <w:rFonts w:ascii="Calibri" w:hAnsi="Calibri" w:eastAsia="Calibri"/>
                <w:b w:val="0"/>
                <w:color w:val="111827"/>
                <w:sz w:val="16"/>
              </w:rPr>
              <w:t>A typed run-local representation of a consequential distinction, claim, relation, Hinge, Passage Model reference, procedure, obligation, permission, or lease, with Basis, dependencies, standing, and witness.</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Hinge</w:t>
            </w:r>
          </w:p>
        </w:tc>
        <w:tc>
          <w:tcPr>
            <w:tcW w:type="dxa" w:w="7460"/>
            <w:vAlign w:val="center"/>
          </w:tcPr>
          <w:p>
            <w:pPr>
              <w:pStyle w:val="TableBody"/>
              <w:spacing w:before="0" w:after="0" w:line="252" w:lineRule="auto"/>
              <w:jc w:val="left"/>
            </w:pPr>
            <w:r>
              <w:rPr>
                <w:rFonts w:ascii="Calibri" w:hAnsi="Calibri" w:eastAsia="Calibri"/>
                <w:b w:val="0"/>
                <w:color w:val="111827"/>
                <w:sz w:val="16"/>
              </w:rPr>
              <w:t>A rival pair whose reversal can change at least one declared Return, action, Standing, obligation, protected condition, reentry, or admitted robustness field.</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Trial</w:t>
            </w:r>
          </w:p>
        </w:tc>
        <w:tc>
          <w:tcPr>
            <w:tcW w:type="dxa" w:w="7460"/>
            <w:vAlign w:val="center"/>
          </w:tcPr>
          <w:p>
            <w:pPr>
              <w:pStyle w:val="TableBody"/>
              <w:spacing w:before="0" w:after="0" w:line="252" w:lineRule="auto"/>
              <w:jc w:val="left"/>
            </w:pPr>
            <w:r>
              <w:rPr>
                <w:rFonts w:ascii="Calibri" w:hAnsi="Calibri" w:eastAsia="Calibri"/>
                <w:b w:val="0"/>
                <w:color w:val="111827"/>
                <w:sz w:val="16"/>
              </w:rPr>
              <w:t>A matched discriminator applied or designed for a Hinge, with shared criteria, cost, tools, evidence, uncertainty, and declared update rule.</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Move</w:t>
            </w:r>
          </w:p>
        </w:tc>
        <w:tc>
          <w:tcPr>
            <w:tcW w:type="dxa" w:w="7460"/>
            <w:vAlign w:val="center"/>
          </w:tcPr>
          <w:p>
            <w:pPr>
              <w:pStyle w:val="TableBody"/>
              <w:spacing w:before="0" w:after="0" w:line="252" w:lineRule="auto"/>
              <w:jc w:val="left"/>
            </w:pPr>
            <w:r>
              <w:rPr>
                <w:rFonts w:ascii="Calibri" w:hAnsi="Calibri" w:eastAsia="Calibri"/>
                <w:b w:val="0"/>
                <w:color w:val="111827"/>
                <w:sz w:val="16"/>
              </w:rPr>
              <w:t>The next bounded operation selected for plausible material Return impact under cost, risk, authority, and reversibility constraints.</w:t>
            </w:r>
          </w:p>
        </w:tc>
      </w:tr>
    </w:tbl>
    <w:p>
      <w:pPr>
        <w:spacing w:after="0"/>
      </w:pP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900"/>
        <w:gridCol w:w="7460"/>
      </w:tblGrid>
      <w:tr>
        <w:trPr>
          <w:trHeight w:hRule="atLeast"/>
          <w:cantSplit w:val="true"/>
          <w:tblHeader w:val="true"/>
        </w:trPr>
        <w:tc>
          <w:tcPr>
            <w:tcW w:type="dxa" w:w="190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Term</w:t>
            </w:r>
          </w:p>
        </w:tc>
        <w:tc>
          <w:tcPr>
            <w:tcW w:type="dxa" w:w="746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Exact use</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Seal</w:t>
            </w:r>
          </w:p>
        </w:tc>
        <w:tc>
          <w:tcPr>
            <w:tcW w:type="dxa" w:w="7460"/>
            <w:vAlign w:val="center"/>
          </w:tcPr>
          <w:p>
            <w:pPr>
              <w:pStyle w:val="TableBody"/>
              <w:spacing w:before="0" w:after="0" w:line="252" w:lineRule="auto"/>
              <w:jc w:val="left"/>
            </w:pPr>
            <w:r>
              <w:rPr>
                <w:rFonts w:ascii="Calibri" w:hAnsi="Calibri" w:eastAsia="Calibri"/>
                <w:b w:val="0"/>
                <w:color w:val="111827"/>
                <w:sz w:val="16"/>
              </w:rPr>
              <w:t>A derived fingerprint over the exact RunSpec, current P0/sweep/Hinge/Trial/Binding payloads, BindingSet, admitted Binding IDs, pre-Seal Event head, represented operations, budgets, and open Binding obligations. It carries no independent permission set.</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ReturnEnvelope</w:t>
            </w:r>
          </w:p>
        </w:tc>
        <w:tc>
          <w:tcPr>
            <w:tcW w:type="dxa" w:w="7460"/>
            <w:vAlign w:val="center"/>
          </w:tcPr>
          <w:p>
            <w:pPr>
              <w:pStyle w:val="TableBody"/>
              <w:spacing w:before="0" w:after="0" w:line="252" w:lineRule="auto"/>
              <w:jc w:val="left"/>
            </w:pPr>
            <w:r>
              <w:rPr>
                <w:rFonts w:ascii="Calibri" w:hAnsi="Calibri" w:eastAsia="Calibri"/>
                <w:b w:val="0"/>
                <w:color w:val="111827"/>
                <w:sz w:val="16"/>
              </w:rPr>
              <w:t>The carrier that binds every requested Return component to its native answer, support outcome, disposition, completion, reverse trace, residual, ceiling, and reentry.</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OutcomeReceipt</w:t>
            </w:r>
          </w:p>
        </w:tc>
        <w:tc>
          <w:tcPr>
            <w:tcW w:type="dxa" w:w="7460"/>
            <w:vAlign w:val="center"/>
          </w:tcPr>
          <w:p>
            <w:pPr>
              <w:pStyle w:val="TableBody"/>
              <w:spacing w:before="0" w:after="0" w:line="252" w:lineRule="auto"/>
              <w:jc w:val="left"/>
            </w:pPr>
            <w:r>
              <w:rPr>
                <w:rFonts w:ascii="Calibri" w:hAnsi="Calibri" w:eastAsia="Calibri"/>
                <w:b w:val="0"/>
                <w:color w:val="111827"/>
                <w:sz w:val="16"/>
              </w:rPr>
              <w:t>The carrier that keeps recommendation through durability separate. In the 0.1 reference only recommendation may be EARNED; later stages, successor change, and learning stay OPEN until typed external profiles exist.</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Lease</w:t>
            </w:r>
          </w:p>
        </w:tc>
        <w:tc>
          <w:tcPr>
            <w:tcW w:type="dxa" w:w="7460"/>
            <w:vAlign w:val="center"/>
          </w:tcPr>
          <w:p>
            <w:pPr>
              <w:pStyle w:val="TableBody"/>
              <w:spacing w:before="0" w:after="0" w:line="252" w:lineRule="auto"/>
              <w:jc w:val="left"/>
            </w:pPr>
            <w:r>
              <w:rPr>
                <w:rFonts w:ascii="Calibri" w:hAnsi="Calibri" w:eastAsia="Calibri"/>
                <w:b w:val="0"/>
                <w:color w:val="111827"/>
                <w:sz w:val="16"/>
              </w:rPr>
              <w:t>A bounded, expiring admission for a mechanism or structure to remain reusable in a declared scope.</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Reentry</w:t>
            </w:r>
          </w:p>
        </w:tc>
        <w:tc>
          <w:tcPr>
            <w:tcW w:type="dxa" w:w="7460"/>
            <w:vAlign w:val="center"/>
          </w:tcPr>
          <w:p>
            <w:pPr>
              <w:pStyle w:val="TableBody"/>
              <w:spacing w:before="0" w:after="0" w:line="252" w:lineRule="auto"/>
              <w:jc w:val="left"/>
            </w:pPr>
            <w:r>
              <w:rPr>
                <w:rFonts w:ascii="Calibri" w:hAnsi="Calibri" w:eastAsia="Calibri"/>
                <w:b w:val="0"/>
                <w:color w:val="111827"/>
                <w:sz w:val="16"/>
              </w:rPr>
              <w:t>The earliest useful continuation point after an exact OPEN or dependency change; reentry links a child reassessment run without rewriting the prior prefix.</w:t>
            </w:r>
          </w:p>
        </w:tc>
      </w:tr>
    </w:tbl>
    <w:p>
      <w:pPr>
        <w:spacing w:after="0"/>
      </w:pP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900"/>
        <w:gridCol w:w="7460"/>
      </w:tblGrid>
      <w:tr>
        <w:trPr>
          <w:trHeight w:hRule="atLeast"/>
          <w:cantSplit w:val="true"/>
          <w:tblHeader w:val="true"/>
        </w:trPr>
        <w:tc>
          <w:tcPr>
            <w:tcW w:type="dxa" w:w="190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Term</w:t>
            </w:r>
          </w:p>
        </w:tc>
        <w:tc>
          <w:tcPr>
            <w:tcW w:type="dxa" w:w="746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Exact use</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Correspondence</w:t>
            </w:r>
          </w:p>
        </w:tc>
        <w:tc>
          <w:tcPr>
            <w:tcW w:type="dxa" w:w="7460"/>
            <w:vAlign w:val="center"/>
          </w:tcPr>
          <w:p>
            <w:pPr>
              <w:pStyle w:val="TableBody"/>
              <w:spacing w:before="0" w:after="0" w:line="252" w:lineRule="auto"/>
              <w:jc w:val="left"/>
            </w:pPr>
            <w:r>
              <w:rPr>
                <w:rFonts w:ascii="Calibri" w:hAnsi="Calibri" w:eastAsia="Calibri"/>
                <w:b w:val="0"/>
                <w:color w:val="111827"/>
                <w:sz w:val="16"/>
              </w:rPr>
              <w:t>A typed, partial, directional, versioned relationship between local identities or contexts with declared domain, guarantee, loss, error, verifier, and validity.</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Crossing</w:t>
            </w:r>
          </w:p>
        </w:tc>
        <w:tc>
          <w:tcPr>
            <w:tcW w:type="dxa" w:w="7460"/>
            <w:vAlign w:val="center"/>
          </w:tcPr>
          <w:p>
            <w:pPr>
              <w:pStyle w:val="TableBody"/>
              <w:spacing w:before="0" w:after="0" w:line="252" w:lineRule="auto"/>
              <w:jc w:val="left"/>
            </w:pPr>
            <w:r>
              <w:rPr>
                <w:rFonts w:ascii="Calibri" w:hAnsi="Calibri" w:eastAsia="Calibri"/>
                <w:b w:val="0"/>
                <w:color w:val="111827"/>
                <w:sz w:val="16"/>
              </w:rPr>
              <w:t>One actual application of a Correspondence with source and produced destination occurrences, loss, residual, introduced material, and guarantees accounted.</w:t>
            </w:r>
          </w:p>
        </w:tc>
      </w:tr>
    </w:tbl>
    <w:p>
      <w:pPr>
        <w:spacing w:after="0"/>
      </w:pPr>
    </w:p>
    <w:p>
      <w:pPr>
        <w:pStyle w:val="Heading2"/>
      </w:pPr>
      <w:r>
        <w:rPr>
          <w:rFonts w:ascii="Calibri" w:hAnsi="Calibri" w:eastAsia="Calibri"/>
        </w:rPr>
        <w:t>Anti-collapse families</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650"/>
        <w:gridCol w:w="3550"/>
        <w:gridCol w:w="4160"/>
      </w:tblGrid>
      <w:tr>
        <w:trPr>
          <w:trHeight w:hRule="atLeast"/>
          <w:cantSplit w:val="true"/>
          <w:tblHeader w:val="true"/>
        </w:trPr>
        <w:tc>
          <w:tcPr>
            <w:tcW w:type="dxa" w:w="165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Family</w:t>
            </w:r>
          </w:p>
        </w:tc>
        <w:tc>
          <w:tcPr>
            <w:tcW w:type="dxa" w:w="3550"/>
            <w:tcMar>
              <w:top w:w="80" w:type="dxa"/>
              <w:start w:w="120" w:type="dxa"/>
              <w:bottom w:w="80" w:type="dxa"/>
              <w:end w:w="120" w:type="dxa"/>
            </w:tcMar>
            <w:shd w:fill="E8EEF5" w:val="clear"/>
            <w:vAlign w:val="center"/>
          </w:tcPr>
          <w:p>
            <w:pPr>
              <w:pStyle w:val="TableBody"/>
              <w:spacing w:before="0" w:after="0" w:line="252" w:lineRule="auto"/>
              <w:jc w:val="left"/>
            </w:pPr>
            <w:r>
              <w:rPr>
                <w:rFonts w:ascii="Calibri" w:hAnsi="Calibri" w:eastAsia="Calibri"/>
                <w:b/>
                <w:color w:val="0B2545"/>
                <w:sz w:val="16"/>
              </w:rPr>
              <w:t>Keep distinct when consequential</w:t>
            </w:r>
          </w:p>
        </w:tc>
        <w:tc>
          <w:tcPr>
            <w:tcW w:type="dxa" w:w="416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Guard</w:t>
            </w:r>
          </w:p>
        </w:tc>
      </w:tr>
      <w:tr>
        <w:trPr>
          <w:cantSplit w:val="true"/>
        </w:trPr>
        <w:tc>
          <w:tcPr>
            <w:tcW w:type="dxa" w:w="1650"/>
            <w:vAlign w:val="center"/>
          </w:tcPr>
          <w:p>
            <w:pPr>
              <w:pStyle w:val="TableBody"/>
              <w:spacing w:before="0" w:after="0" w:line="252" w:lineRule="auto"/>
              <w:jc w:val="left"/>
            </w:pPr>
            <w:r>
              <w:rPr>
                <w:rFonts w:ascii="Calibri" w:hAnsi="Calibri" w:eastAsia="Calibri"/>
                <w:b w:val="0"/>
                <w:color w:val="111827"/>
                <w:sz w:val="15"/>
              </w:rPr>
              <w:t>Representation and identity</w:t>
            </w:r>
          </w:p>
        </w:tc>
        <w:tc>
          <w:tcPr>
            <w:tcW w:type="dxa" w:w="3550"/>
            <w:vAlign w:val="center"/>
          </w:tcPr>
          <w:p>
            <w:pPr>
              <w:pStyle w:val="TableBody"/>
              <w:spacing w:before="0" w:after="0" w:line="252" w:lineRule="auto"/>
              <w:jc w:val="left"/>
            </w:pPr>
            <w:r>
              <w:rPr>
                <w:rFonts w:ascii="Calibri" w:hAnsi="Calibri" w:eastAsia="Calibri"/>
                <w:b w:val="0"/>
                <w:color w:val="111827"/>
                <w:sz w:val="15"/>
              </w:rPr>
              <w:t>label, referent, bytes, name, timestamp, version, branch, location, meaning, identity, precedence, authority, continuity, currentness</w:t>
            </w:r>
          </w:p>
        </w:tc>
        <w:tc>
          <w:tcPr>
            <w:tcW w:type="dxa" w:w="4160"/>
            <w:vAlign w:val="center"/>
          </w:tcPr>
          <w:p>
            <w:pPr>
              <w:pStyle w:val="TableBody"/>
              <w:spacing w:before="0" w:after="0" w:line="252" w:lineRule="auto"/>
              <w:jc w:val="left"/>
            </w:pPr>
            <w:r>
              <w:rPr>
                <w:rFonts w:ascii="Calibri" w:hAnsi="Calibri" w:eastAsia="Calibri"/>
                <w:b w:val="0"/>
                <w:color w:val="111827"/>
                <w:sz w:val="15"/>
              </w:rPr>
              <w:t>Matching representation coordinates do not automatically establish matching identity, meaning, authority, continuity, precedence, or currentness.</w:t>
            </w:r>
          </w:p>
        </w:tc>
      </w:tr>
      <w:tr>
        <w:trPr>
          <w:cantSplit w:val="true"/>
        </w:trPr>
        <w:tc>
          <w:tcPr>
            <w:tcW w:type="dxa" w:w="1650"/>
            <w:vAlign w:val="center"/>
          </w:tcPr>
          <w:p>
            <w:pPr>
              <w:pStyle w:val="TableBody"/>
              <w:spacing w:before="0" w:after="0" w:line="252" w:lineRule="auto"/>
              <w:jc w:val="left"/>
            </w:pPr>
            <w:r>
              <w:rPr>
                <w:rFonts w:ascii="Calibri" w:hAnsi="Calibri" w:eastAsia="Calibri"/>
                <w:b w:val="0"/>
                <w:color w:val="111827"/>
                <w:sz w:val="15"/>
              </w:rPr>
              <w:t>Epistemic support</w:t>
            </w:r>
          </w:p>
        </w:tc>
        <w:tc>
          <w:tcPr>
            <w:tcW w:type="dxa" w:w="3550"/>
            <w:vAlign w:val="center"/>
          </w:tcPr>
          <w:p>
            <w:pPr>
              <w:pStyle w:val="TableBody"/>
              <w:spacing w:before="0" w:after="0" w:line="252" w:lineRule="auto"/>
              <w:jc w:val="left"/>
            </w:pPr>
            <w:r>
              <w:rPr>
                <w:rFonts w:ascii="Calibri" w:hAnsi="Calibri" w:eastAsia="Calibri"/>
                <w:b w:val="0"/>
                <w:color w:val="111827"/>
                <w:sz w:val="15"/>
              </w:rPr>
              <w:t>source, assertion, evidence, warrant, Judgment, Standing, confidence, agreement, corroboration, observation, attribution</w:t>
            </w:r>
          </w:p>
        </w:tc>
        <w:tc>
          <w:tcPr>
            <w:tcW w:type="dxa" w:w="4160"/>
            <w:vAlign w:val="center"/>
          </w:tcPr>
          <w:p>
            <w:pPr>
              <w:pStyle w:val="TableBody"/>
              <w:spacing w:before="0" w:after="0" w:line="252" w:lineRule="auto"/>
              <w:jc w:val="left"/>
            </w:pPr>
            <w:r>
              <w:rPr>
                <w:rFonts w:ascii="Calibri" w:hAnsi="Calibri" w:eastAsia="Calibri"/>
                <w:b w:val="0"/>
                <w:color w:val="111827"/>
                <w:sz w:val="15"/>
              </w:rPr>
              <w:t>Each layer must earn its own status; agreement under shared lineage is not independent corroboration.</w:t>
            </w:r>
          </w:p>
        </w:tc>
      </w:tr>
      <w:tr>
        <w:trPr>
          <w:cantSplit w:val="true"/>
        </w:trPr>
        <w:tc>
          <w:tcPr>
            <w:tcW w:type="dxa" w:w="1650"/>
            <w:vAlign w:val="center"/>
          </w:tcPr>
          <w:p>
            <w:pPr>
              <w:pStyle w:val="TableBody"/>
              <w:spacing w:before="0" w:after="0" w:line="252" w:lineRule="auto"/>
              <w:jc w:val="left"/>
            </w:pPr>
            <w:r>
              <w:rPr>
                <w:rFonts w:ascii="Calibri" w:hAnsi="Calibri" w:eastAsia="Calibri"/>
                <w:b w:val="0"/>
                <w:color w:val="111827"/>
                <w:sz w:val="15"/>
              </w:rPr>
              <w:t>Authority and action</w:t>
            </w:r>
          </w:p>
        </w:tc>
        <w:tc>
          <w:tcPr>
            <w:tcW w:type="dxa" w:w="3550"/>
            <w:vAlign w:val="center"/>
          </w:tcPr>
          <w:p>
            <w:pPr>
              <w:pStyle w:val="TableBody"/>
              <w:spacing w:before="0" w:after="0" w:line="252" w:lineRule="auto"/>
              <w:jc w:val="left"/>
            </w:pPr>
            <w:r>
              <w:rPr>
                <w:rFonts w:ascii="Calibri" w:hAnsi="Calibri" w:eastAsia="Calibri"/>
                <w:b w:val="0"/>
                <w:color w:val="111827"/>
                <w:sz w:val="15"/>
              </w:rPr>
              <w:t>request, recommendation, choice, capability, permission, authority, legitimacy, attempt, execution, occurrence, technical_receipt, observation, evaluation, attribution, effect, durability</w:t>
            </w:r>
          </w:p>
        </w:tc>
        <w:tc>
          <w:tcPr>
            <w:tcW w:type="dxa" w:w="4160"/>
            <w:vAlign w:val="center"/>
          </w:tcPr>
          <w:p>
            <w:pPr>
              <w:pStyle w:val="TableBody"/>
              <w:spacing w:before="0" w:after="0" w:line="252" w:lineRule="auto"/>
              <w:jc w:val="left"/>
            </w:pPr>
            <w:r>
              <w:rPr>
                <w:rFonts w:ascii="Calibri" w:hAnsi="Calibri" w:eastAsia="Calibri"/>
                <w:b w:val="0"/>
                <w:color w:val="111827"/>
                <w:sz w:val="15"/>
              </w:rPr>
              <w:t>No earlier stage automatically earns a later stage.</w:t>
            </w:r>
          </w:p>
        </w:tc>
      </w:tr>
      <w:tr>
        <w:trPr>
          <w:cantSplit w:val="true"/>
        </w:trPr>
        <w:tc>
          <w:tcPr>
            <w:tcW w:type="dxa" w:w="1650"/>
            <w:vAlign w:val="center"/>
          </w:tcPr>
          <w:p>
            <w:pPr>
              <w:pStyle w:val="TableBody"/>
              <w:spacing w:before="0" w:after="0" w:line="252" w:lineRule="auto"/>
              <w:jc w:val="left"/>
            </w:pPr>
            <w:r>
              <w:rPr>
                <w:rFonts w:ascii="Calibri" w:hAnsi="Calibri" w:eastAsia="Calibri"/>
                <w:b w:val="0"/>
                <w:color w:val="111827"/>
                <w:sz w:val="15"/>
              </w:rPr>
              <w:t>Disposition</w:t>
            </w:r>
          </w:p>
        </w:tc>
        <w:tc>
          <w:tcPr>
            <w:tcW w:type="dxa" w:w="3550"/>
            <w:vAlign w:val="center"/>
          </w:tcPr>
          <w:p>
            <w:pPr>
              <w:pStyle w:val="TableBody"/>
              <w:spacing w:before="0" w:after="0" w:line="252" w:lineRule="auto"/>
              <w:jc w:val="left"/>
            </w:pPr>
            <w:r>
              <w:rPr>
                <w:rFonts w:ascii="Calibri" w:hAnsi="Calibri" w:eastAsia="Calibri"/>
                <w:b w:val="0"/>
                <w:color w:val="111827"/>
                <w:sz w:val="15"/>
              </w:rPr>
              <w:t>unknown, absent, negative, blocked, conflicted, incomparable, redacted, empty, not_applicable</w:t>
            </w:r>
          </w:p>
        </w:tc>
        <w:tc>
          <w:tcPr>
            <w:tcW w:type="dxa" w:w="4160"/>
            <w:vAlign w:val="center"/>
          </w:tcPr>
          <w:p>
            <w:pPr>
              <w:pStyle w:val="TableBody"/>
              <w:spacing w:before="0" w:after="0" w:line="252" w:lineRule="auto"/>
              <w:jc w:val="left"/>
            </w:pPr>
            <w:r>
              <w:rPr>
                <w:rFonts w:ascii="Calibri" w:hAnsi="Calibri" w:eastAsia="Calibri"/>
                <w:b w:val="0"/>
                <w:color w:val="111827"/>
                <w:sz w:val="15"/>
              </w:rPr>
              <w:t>Do not encode these as one null or infer absence from silence without proved complete coverage.</w:t>
            </w:r>
          </w:p>
        </w:tc>
      </w:tr>
      <w:tr>
        <w:trPr>
          <w:cantSplit w:val="true"/>
        </w:trPr>
        <w:tc>
          <w:tcPr>
            <w:tcW w:type="dxa" w:w="1650"/>
            <w:vAlign w:val="center"/>
          </w:tcPr>
          <w:p>
            <w:pPr>
              <w:pStyle w:val="TableBody"/>
              <w:spacing w:before="0" w:after="0" w:line="252" w:lineRule="auto"/>
              <w:jc w:val="left"/>
            </w:pPr>
            <w:r>
              <w:rPr>
                <w:rFonts w:ascii="Calibri" w:hAnsi="Calibri" w:eastAsia="Calibri"/>
                <w:b w:val="0"/>
                <w:color w:val="111827"/>
                <w:sz w:val="15"/>
              </w:rPr>
              <w:t>Transport and change</w:t>
            </w:r>
          </w:p>
        </w:tc>
        <w:tc>
          <w:tcPr>
            <w:tcW w:type="dxa" w:w="3550"/>
            <w:vAlign w:val="center"/>
          </w:tcPr>
          <w:p>
            <w:pPr>
              <w:pStyle w:val="TableBody"/>
              <w:spacing w:before="0" w:after="0" w:line="252" w:lineRule="auto"/>
              <w:jc w:val="left"/>
            </w:pPr>
            <w:r>
              <w:rPr>
                <w:rFonts w:ascii="Calibri" w:hAnsi="Calibri" w:eastAsia="Calibri"/>
                <w:b w:val="0"/>
                <w:color w:val="111827"/>
                <w:sz w:val="15"/>
              </w:rPr>
              <w:t>translate, transform, compress, compose, copy, move, replace, succeed</w:t>
            </w:r>
          </w:p>
        </w:tc>
        <w:tc>
          <w:tcPr>
            <w:tcW w:type="dxa" w:w="4160"/>
            <w:vAlign w:val="center"/>
          </w:tcPr>
          <w:p>
            <w:pPr>
              <w:pStyle w:val="TableBody"/>
              <w:spacing w:before="0" w:after="0" w:line="252" w:lineRule="auto"/>
              <w:jc w:val="left"/>
            </w:pPr>
            <w:r>
              <w:rPr>
                <w:rFonts w:ascii="Calibri" w:hAnsi="Calibri" w:eastAsia="Calibri"/>
                <w:b w:val="0"/>
                <w:color w:val="111827"/>
                <w:sz w:val="15"/>
              </w:rPr>
              <w:t>Each operation has a distinct account; identity, authority, obligation, certification, permission, and Standing do not automatically travel.</w:t>
            </w:r>
          </w:p>
        </w:tc>
      </w:tr>
      <w:tr>
        <w:trPr>
          <w:cantSplit w:val="true"/>
        </w:trPr>
        <w:tc>
          <w:tcPr>
            <w:tcW w:type="dxa" w:w="1650"/>
            <w:vAlign w:val="center"/>
          </w:tcPr>
          <w:p>
            <w:pPr>
              <w:pStyle w:val="TableBody"/>
              <w:spacing w:before="0" w:after="0" w:line="252" w:lineRule="auto"/>
              <w:jc w:val="left"/>
            </w:pPr>
            <w:r>
              <w:rPr>
                <w:rFonts w:ascii="Calibri" w:hAnsi="Calibri" w:eastAsia="Calibri"/>
                <w:b w:val="0"/>
                <w:color w:val="111827"/>
                <w:sz w:val="15"/>
              </w:rPr>
              <w:t>Literal logic</w:t>
            </w:r>
          </w:p>
        </w:tc>
        <w:tc>
          <w:tcPr>
            <w:tcW w:type="dxa" w:w="3550"/>
            <w:vAlign w:val="center"/>
          </w:tcPr>
          <w:p>
            <w:pPr>
              <w:pStyle w:val="TableBody"/>
              <w:spacing w:before="0" w:after="0" w:line="252" w:lineRule="auto"/>
              <w:jc w:val="left"/>
            </w:pPr>
            <w:r>
              <w:rPr>
                <w:rFonts w:ascii="Calibri" w:hAnsi="Calibri" w:eastAsia="Calibri"/>
                <w:b w:val="0"/>
                <w:color w:val="111827"/>
                <w:sz w:val="15"/>
              </w:rPr>
              <w:t>direction, polarity, negation, connective, scope, order, threshold, exception, time, reset</w:t>
            </w:r>
          </w:p>
        </w:tc>
        <w:tc>
          <w:tcPr>
            <w:tcW w:type="dxa" w:w="4160"/>
            <w:vAlign w:val="center"/>
          </w:tcPr>
          <w:p>
            <w:pPr>
              <w:pStyle w:val="TableBody"/>
              <w:spacing w:before="0" w:after="0" w:line="252" w:lineRule="auto"/>
              <w:jc w:val="left"/>
            </w:pPr>
            <w:r>
              <w:rPr>
                <w:rFonts w:ascii="Calibri" w:hAnsi="Calibri" w:eastAsia="Calibri"/>
                <w:b w:val="0"/>
                <w:color w:val="111827"/>
                <w:sz w:val="15"/>
              </w:rPr>
              <w:t>Preserve the exact operator when changing it can change the Return.</w:t>
            </w:r>
          </w:p>
        </w:tc>
      </w:tr>
      <w:tr>
        <w:trPr>
          <w:cantSplit w:val="true"/>
        </w:trPr>
        <w:tc>
          <w:tcPr>
            <w:tcW w:type="dxa" w:w="1650"/>
            <w:vAlign w:val="center"/>
          </w:tcPr>
          <w:p>
            <w:pPr>
              <w:pStyle w:val="TableBody"/>
              <w:spacing w:before="0" w:after="0" w:line="252" w:lineRule="auto"/>
              <w:jc w:val="left"/>
            </w:pPr>
            <w:r>
              <w:rPr>
                <w:rFonts w:ascii="Calibri" w:hAnsi="Calibri" w:eastAsia="Calibri"/>
                <w:b w:val="0"/>
                <w:color w:val="111827"/>
                <w:sz w:val="15"/>
              </w:rPr>
              <w:t>Passage and resources</w:t>
            </w:r>
          </w:p>
        </w:tc>
        <w:tc>
          <w:tcPr>
            <w:tcW w:type="dxa" w:w="3550"/>
            <w:vAlign w:val="center"/>
          </w:tcPr>
          <w:p>
            <w:pPr>
              <w:pStyle w:val="TableBody"/>
              <w:spacing w:before="0" w:after="0" w:line="252" w:lineRule="auto"/>
              <w:jc w:val="left"/>
            </w:pPr>
            <w:r>
              <w:rPr>
                <w:rFonts w:ascii="Calibri" w:hAnsi="Calibri" w:eastAsia="Calibri"/>
                <w:b w:val="0"/>
                <w:color w:val="111827"/>
                <w:sz w:val="15"/>
              </w:rPr>
              <w:t>candidate, qualified_Passage, route, engagement, occurrence, outcome, consequence, stock, resource, access, control, permission, extraction, usability, yield, recovery, regeneration</w:t>
            </w:r>
          </w:p>
        </w:tc>
        <w:tc>
          <w:tcPr>
            <w:tcW w:type="dxa" w:w="4160"/>
            <w:vAlign w:val="center"/>
          </w:tcPr>
          <w:p>
            <w:pPr>
              <w:pStyle w:val="TableBody"/>
              <w:spacing w:before="0" w:after="0" w:line="252" w:lineRule="auto"/>
              <w:jc w:val="left"/>
            </w:pPr>
            <w:r>
              <w:rPr>
                <w:rFonts w:ascii="Calibri" w:hAnsi="Calibri" w:eastAsia="Calibri"/>
                <w:b w:val="0"/>
                <w:color w:val="111827"/>
                <w:sz w:val="15"/>
              </w:rPr>
              <w:t>Passage stages and resource gates remain separately earned; recovery is not regeneration.</w:t>
            </w:r>
          </w:p>
        </w:tc>
      </w:tr>
      <w:tr>
        <w:trPr>
          <w:cantSplit w:val="true"/>
        </w:trPr>
        <w:tc>
          <w:tcPr>
            <w:tcW w:type="dxa" w:w="1650"/>
            <w:vAlign w:val="center"/>
          </w:tcPr>
          <w:p>
            <w:pPr>
              <w:pStyle w:val="TableBody"/>
              <w:spacing w:before="0" w:after="0" w:line="252" w:lineRule="auto"/>
              <w:jc w:val="left"/>
            </w:pPr>
            <w:r>
              <w:rPr>
                <w:rFonts w:ascii="Calibri" w:hAnsi="Calibri" w:eastAsia="Calibri"/>
                <w:b w:val="0"/>
                <w:color w:val="111827"/>
                <w:sz w:val="15"/>
              </w:rPr>
              <w:t>Structural plurality</w:t>
            </w:r>
          </w:p>
        </w:tc>
        <w:tc>
          <w:tcPr>
            <w:tcW w:type="dxa" w:w="3550"/>
            <w:vAlign w:val="center"/>
          </w:tcPr>
          <w:p>
            <w:pPr>
              <w:pStyle w:val="TableBody"/>
              <w:spacing w:before="0" w:after="0" w:line="252" w:lineRule="auto"/>
              <w:jc w:val="left"/>
            </w:pPr>
            <w:r>
              <w:rPr>
                <w:rFonts w:ascii="Calibri" w:hAnsi="Calibri" w:eastAsia="Calibri"/>
                <w:b w:val="0"/>
                <w:color w:val="111827"/>
                <w:sz w:val="15"/>
              </w:rPr>
              <w:t>plurality, diversity, redundancy, independence, pairwise_independence, higher_order_independence, coupling, coordination, synchrony, coherence, state, path, field, load, control, slack, capacity, topology, residue</w:t>
            </w:r>
          </w:p>
        </w:tc>
        <w:tc>
          <w:tcPr>
            <w:tcW w:type="dxa" w:w="4160"/>
            <w:vAlign w:val="center"/>
          </w:tcPr>
          <w:p>
            <w:pPr>
              <w:pStyle w:val="TableBody"/>
              <w:spacing w:before="0" w:after="0" w:line="252" w:lineRule="auto"/>
              <w:jc w:val="left"/>
            </w:pPr>
            <w:r>
              <w:rPr>
                <w:rFonts w:ascii="Calibri" w:hAnsi="Calibri" w:eastAsia="Calibri"/>
                <w:b w:val="0"/>
                <w:color w:val="111827"/>
                <w:sz w:val="15"/>
              </w:rPr>
              <w:t>Related diagnostics are not substitutes. Split only where the distinction changes a declared field.</w:t>
            </w:r>
          </w:p>
        </w:tc>
      </w:tr>
      <w:tr>
        <w:trPr>
          <w:cantSplit w:val="true"/>
        </w:trPr>
        <w:tc>
          <w:tcPr>
            <w:tcW w:type="dxa" w:w="1650"/>
            <w:vAlign w:val="center"/>
          </w:tcPr>
          <w:p>
            <w:pPr>
              <w:pStyle w:val="TableBody"/>
              <w:spacing w:before="0" w:after="0" w:line="252" w:lineRule="auto"/>
              <w:jc w:val="left"/>
            </w:pPr>
            <w:r>
              <w:rPr>
                <w:rFonts w:ascii="Calibri" w:hAnsi="Calibri" w:eastAsia="Calibri"/>
                <w:b w:val="0"/>
                <w:color w:val="111827"/>
                <w:sz w:val="15"/>
              </w:rPr>
              <w:t>Architecture evidence</w:t>
            </w:r>
          </w:p>
        </w:tc>
        <w:tc>
          <w:tcPr>
            <w:tcW w:type="dxa" w:w="3550"/>
            <w:vAlign w:val="center"/>
          </w:tcPr>
          <w:p>
            <w:pPr>
              <w:pStyle w:val="TableBody"/>
              <w:spacing w:before="0" w:after="0" w:line="252" w:lineRule="auto"/>
              <w:jc w:val="left"/>
            </w:pPr>
            <w:r>
              <w:rPr>
                <w:rFonts w:ascii="Calibri" w:hAnsi="Calibri" w:eastAsia="Calibri"/>
                <w:b w:val="0"/>
                <w:color w:val="111827"/>
                <w:sz w:val="15"/>
              </w:rPr>
              <w:t>tokens, edges, tests, generated_assertions, retrieved_text, agents, votes, evidence_classes</w:t>
            </w:r>
          </w:p>
        </w:tc>
        <w:tc>
          <w:tcPr>
            <w:tcW w:type="dxa" w:w="4160"/>
            <w:vAlign w:val="center"/>
          </w:tcPr>
          <w:p>
            <w:pPr>
              <w:pStyle w:val="TableBody"/>
              <w:spacing w:before="0" w:after="0" w:line="252" w:lineRule="auto"/>
              <w:jc w:val="left"/>
            </w:pPr>
            <w:r>
              <w:rPr>
                <w:rFonts w:ascii="Calibri" w:hAnsi="Calibri" w:eastAsia="Calibri"/>
                <w:b w:val="0"/>
                <w:color w:val="111827"/>
                <w:sz w:val="15"/>
              </w:rPr>
              <w:t>More rows, renderings, repetitions, or shared-lineage votes do not increase independence, truth, completeness, or value.</w:t>
            </w:r>
          </w:p>
        </w:tc>
      </w:tr>
    </w:tbl>
    <w:p>
      <w:pPr>
        <w:spacing w:after="0"/>
      </w:pPr>
    </w:p>
    <w:p>
      <w:pPr>
        <w:pStyle w:val="Heading2"/>
      </w:pPr>
      <w:r>
        <w:rPr>
          <w:rFonts w:ascii="Calibri" w:hAnsi="Calibri" w:eastAsia="Calibri"/>
        </w:rPr>
        <w:t>High-yield coupled checks</w:t>
      </w:r>
    </w:p>
    <w:p>
      <w:pPr>
        <w:pStyle w:val="ListBullet"/>
      </w:pPr>
      <w:r>
        <w:rPr>
          <w:rFonts w:ascii="Calibri" w:hAnsi="Calibri" w:eastAsia="Calibri"/>
        </w:rPr>
        <w:t>actual / perceived / represented / selected / executed</w:t>
      </w:r>
    </w:p>
    <w:p>
      <w:pPr>
        <w:pStyle w:val="ListBullet"/>
      </w:pPr>
      <w:r>
        <w:rPr>
          <w:rFonts w:ascii="Calibri" w:hAnsi="Calibri" w:eastAsia="Calibri"/>
        </w:rPr>
        <w:t>visible / salient / accessible / available / usable / occupiable / inhabitable / viable</w:t>
      </w:r>
    </w:p>
    <w:p>
      <w:pPr>
        <w:pStyle w:val="ListBullet"/>
      </w:pPr>
      <w:r>
        <w:rPr>
          <w:rFonts w:ascii="Calibri" w:hAnsi="Calibri" w:eastAsia="Calibri"/>
        </w:rPr>
        <w:t>maintenance / stabilization / repair / recovery / regeneration</w:t>
      </w:r>
    </w:p>
    <w:p>
      <w:pPr>
        <w:pStyle w:val="ListBullet"/>
      </w:pPr>
      <w:r>
        <w:rPr>
          <w:rFonts w:ascii="Calibri" w:hAnsi="Calibri" w:eastAsia="Calibri"/>
        </w:rPr>
        <w:t>integration / storage / release / deformation</w:t>
      </w:r>
    </w:p>
    <w:p>
      <w:pPr>
        <w:pStyle w:val="ListBullet"/>
      </w:pPr>
      <w:r>
        <w:rPr>
          <w:rFonts w:ascii="Calibri" w:hAnsi="Calibri" w:eastAsia="Calibri"/>
        </w:rPr>
        <w:t>plurality / diversity / redundancy / independence; pairwise / higher-order independence</w:t>
      </w:r>
    </w:p>
    <w:p>
      <w:pPr>
        <w:pStyle w:val="ListBullet"/>
      </w:pPr>
      <w:r>
        <w:rPr>
          <w:rFonts w:ascii="Calibri" w:hAnsi="Calibri" w:eastAsia="Calibri"/>
        </w:rPr>
        <w:t>coupling / coordination / synchrony / coherence; state / path / field</w:t>
      </w:r>
    </w:p>
    <w:p>
      <w:pPr>
        <w:pStyle w:val="ListBullet"/>
      </w:pPr>
      <w:r>
        <w:rPr>
          <w:rFonts w:ascii="Calibri" w:hAnsi="Calibri" w:eastAsia="Calibri"/>
        </w:rPr>
        <w:t>load / control / slack / capacity / topology / residue</w:t>
      </w:r>
    </w:p>
    <w:tbl>
      <w:tblPr>
        <w:tblW w:type="dxa" w:w="9360"/>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trHeight w:hRule="atLeast"/>
          <w:cantSplit w:val="true"/>
          <w:tblHeader w:val="true"/>
        </w:trPr>
        <w:tc>
          <w:tcPr>
            <w:tcW w:type="dxa" w:w="9360"/>
            <w:tcMar>
              <w:top w:w="80" w:type="dxa"/>
              <w:start w:w="120" w:type="dxa"/>
              <w:bottom w:w="80" w:type="dxa"/>
              <w:end w:w="120" w:type="dxa"/>
            </w:tcMar>
            <w:shd w:fill="F4F6F9" w:val="clear"/>
          </w:tcPr>
          <w:p>
            <w:pPr>
              <w:spacing w:before="20" w:after="20" w:line="276" w:lineRule="auto"/>
            </w:pPr>
            <w:r>
              <w:rPr>
                <w:rFonts w:ascii="Calibri" w:hAnsi="Calibri" w:eastAsia="Calibri"/>
                <w:b/>
                <w:color w:val="2E74B5"/>
                <w:sz w:val="17"/>
              </w:rPr>
              <w:t xml:space="preserve">USE RULE  </w:t>
            </w:r>
            <w:r>
              <w:rPr>
                <w:rFonts w:ascii="Calibri" w:hAnsi="Calibri" w:eastAsia="Calibri"/>
                <w:color w:val="0B2545"/>
                <w:sz w:val="20"/>
              </w:rPr>
              <w:t>Split terms only when the distinction changes a declared field. Otherwise keep the smaller representation. Exactness guides structure; it does not justify pairwise explosion.</w:t>
            </w:r>
          </w:p>
        </w:tc>
      </w:tr>
    </w:tbl>
    <w:p>
      <w:pPr>
        <w:spacing w:after="0"/>
      </w:pPr>
    </w:p>
    <w:p>
      <w:pPr>
        <w:pStyle w:val="Heading1"/>
      </w:pPr>
      <w:r>
        <w:t>13  Records, derived objects, and implementation boundary</w:t>
      </w:r>
    </w:p>
    <w:p>
      <w:pPr>
        <w:pStyle w:val="Kicker"/>
        <w:keepNext/>
      </w:pPr>
      <w:r>
        <w:rPr>
          <w:rFonts w:ascii="Calibri" w:hAnsi="Calibri" w:eastAsia="Calibri"/>
          <w:color w:val="667085"/>
        </w:rPr>
        <w:t>Five canonical records; everything else is a rebuildable view, referenced artifact, or external adapter concern.</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900"/>
        <w:gridCol w:w="7460"/>
      </w:tblGrid>
      <w:tr>
        <w:trPr>
          <w:trHeight w:hRule="atLeast"/>
          <w:cantSplit w:val="true"/>
          <w:tblHeader w:val="true"/>
        </w:trPr>
        <w:tc>
          <w:tcPr>
            <w:tcW w:type="dxa" w:w="190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Record</w:t>
            </w:r>
          </w:p>
        </w:tc>
        <w:tc>
          <w:tcPr>
            <w:tcW w:type="dxa" w:w="746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Purpose</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RunSpec</w:t>
            </w:r>
          </w:p>
        </w:tc>
        <w:tc>
          <w:tcPr>
            <w:tcW w:type="dxa" w:w="7460"/>
            <w:vAlign w:val="center"/>
          </w:tcPr>
          <w:p>
            <w:pPr>
              <w:pStyle w:val="TableBody"/>
              <w:spacing w:before="0" w:after="0" w:line="252" w:lineRule="auto"/>
              <w:jc w:val="left"/>
            </w:pPr>
            <w:r>
              <w:rPr>
                <w:rFonts w:ascii="Calibri" w:hAnsi="Calibri" w:eastAsia="Calibri"/>
                <w:b w:val="0"/>
                <w:color w:val="111827"/>
                <w:sz w:val="16"/>
              </w:rPr>
              <w:t>Preserve the raw request, supplied Basis, Return contract, use, stakes, protected conditions, horizon, authority, tools, formation mode, budgets, and lineage.</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Binding</w:t>
            </w:r>
          </w:p>
        </w:tc>
        <w:tc>
          <w:tcPr>
            <w:tcW w:type="dxa" w:w="7460"/>
            <w:vAlign w:val="center"/>
          </w:tcPr>
          <w:p>
            <w:pPr>
              <w:pStyle w:val="TableBody"/>
              <w:spacing w:before="0" w:after="0" w:line="252" w:lineRule="auto"/>
              <w:jc w:val="left"/>
            </w:pPr>
            <w:r>
              <w:rPr>
                <w:rFonts w:ascii="Calibri" w:hAnsi="Calibri" w:eastAsia="Calibri"/>
                <w:b w:val="0"/>
                <w:color w:val="111827"/>
                <w:sz w:val="16"/>
              </w:rPr>
              <w:t>Carry a task-local distinction, claim, relation, Hinge, Passage Model reference, procedure, represented permission, obligation, dependency, witness, cost, contraindication, status, or lease.</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Event</w:t>
            </w:r>
          </w:p>
        </w:tc>
        <w:tc>
          <w:tcPr>
            <w:tcW w:type="dxa" w:w="7460"/>
            <w:vAlign w:val="center"/>
          </w:tcPr>
          <w:p>
            <w:pPr>
              <w:pStyle w:val="TableBody"/>
              <w:spacing w:before="0" w:after="0" w:line="252" w:lineRule="auto"/>
              <w:jc w:val="left"/>
            </w:pPr>
            <w:r>
              <w:rPr>
                <w:rFonts w:ascii="Calibri" w:hAnsi="Calibri" w:eastAsia="Calibri"/>
                <w:b w:val="0"/>
                <w:color w:val="111827"/>
                <w:sz w:val="16"/>
              </w:rPr>
              <w:t>Append construction, challenge, decision, execution, receipt, audit, and reopening events in one canonical hash chain. Timestamps are descriptive, not trusted authority.</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ReturnEnvelope</w:t>
            </w:r>
          </w:p>
        </w:tc>
        <w:tc>
          <w:tcPr>
            <w:tcW w:type="dxa" w:w="7460"/>
            <w:vAlign w:val="center"/>
          </w:tcPr>
          <w:p>
            <w:pPr>
              <w:pStyle w:val="TableBody"/>
              <w:spacing w:before="0" w:after="0" w:line="252" w:lineRule="auto"/>
              <w:jc w:val="left"/>
            </w:pPr>
            <w:r>
              <w:rPr>
                <w:rFonts w:ascii="Calibri" w:hAnsi="Calibri" w:eastAsia="Calibri"/>
                <w:b w:val="0"/>
                <w:color w:val="111827"/>
                <w:sz w:val="16"/>
              </w:rPr>
              <w:t>Carry per-component native Returns, outcomes, dispositions, completion, Basis and Binding references, reverse trace, assumptions, residuals, support ceiling, and exact OPEN certificates.</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OutcomeReceipt</w:t>
            </w:r>
          </w:p>
        </w:tc>
        <w:tc>
          <w:tcPr>
            <w:tcW w:type="dxa" w:w="7460"/>
            <w:vAlign w:val="center"/>
          </w:tcPr>
          <w:p>
            <w:pPr>
              <w:pStyle w:val="TableBody"/>
              <w:spacing w:before="0" w:after="0" w:line="252" w:lineRule="auto"/>
              <w:jc w:val="left"/>
            </w:pPr>
            <w:r>
              <w:rPr>
                <w:rFonts w:ascii="Calibri" w:hAnsi="Calibri" w:eastAsia="Calibri"/>
                <w:b w:val="0"/>
                <w:color w:val="111827"/>
                <w:sz w:val="16"/>
              </w:rPr>
              <w:t>Keep action stages, Successor Signature, evidence, attribution limits, durability, learning updates, and reopen triggers separate.</w:t>
            </w:r>
          </w:p>
        </w:tc>
      </w:tr>
    </w:tbl>
    <w:p>
      <w:pPr>
        <w:spacing w:after="0"/>
      </w:pPr>
    </w:p>
    <w:p>
      <w:pPr>
        <w:pStyle w:val="Heading2"/>
      </w:pPr>
      <w:r>
        <w:rPr>
          <w:rFonts w:ascii="Calibri" w:hAnsi="Calibri" w:eastAsia="Calibri"/>
        </w:rPr>
        <w:t>Derived objects</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900"/>
        <w:gridCol w:w="7460"/>
      </w:tblGrid>
      <w:tr>
        <w:trPr>
          <w:trHeight w:hRule="atLeast"/>
          <w:cantSplit w:val="true"/>
          <w:tblHeader w:val="true"/>
        </w:trPr>
        <w:tc>
          <w:tcPr>
            <w:tcW w:type="dxa" w:w="190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Object</w:t>
            </w:r>
          </w:p>
        </w:tc>
        <w:tc>
          <w:tcPr>
            <w:tcW w:type="dxa" w:w="746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Rule</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Seal</w:t>
            </w:r>
          </w:p>
        </w:tc>
        <w:tc>
          <w:tcPr>
            <w:tcW w:type="dxa" w:w="7460"/>
            <w:vAlign w:val="center"/>
          </w:tcPr>
          <w:p>
            <w:pPr>
              <w:pStyle w:val="TableBody"/>
              <w:spacing w:before="0" w:after="0" w:line="252" w:lineRule="auto"/>
              <w:jc w:val="left"/>
            </w:pPr>
            <w:r>
              <w:rPr>
                <w:rFonts w:ascii="Calibri" w:hAnsi="Calibri" w:eastAsia="Calibri"/>
                <w:b w:val="0"/>
                <w:color w:val="111827"/>
                <w:sz w:val="16"/>
              </w:rPr>
              <w:t>A derived fingerprint over the RunSpec, current phase payloads, BindingSet, admitted Binding IDs, Event prefix, represented operations, budgets, and open Binding obligations.</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Lease</w:t>
            </w:r>
          </w:p>
        </w:tc>
        <w:tc>
          <w:tcPr>
            <w:tcW w:type="dxa" w:w="7460"/>
            <w:vAlign w:val="center"/>
          </w:tcPr>
          <w:p>
            <w:pPr>
              <w:pStyle w:val="TableBody"/>
              <w:spacing w:before="0" w:after="0" w:line="252" w:lineRule="auto"/>
              <w:jc w:val="left"/>
            </w:pPr>
            <w:r>
              <w:rPr>
                <w:rFonts w:ascii="Calibri" w:hAnsi="Calibri" w:eastAsia="Calibri"/>
                <w:b w:val="0"/>
                <w:color w:val="111827"/>
                <w:sz w:val="16"/>
              </w:rPr>
              <w:t>A Binding kind with scope, evidence, cost, contraindications, expiry, and reopen triggers.</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Reentry</w:t>
            </w:r>
          </w:p>
        </w:tc>
        <w:tc>
          <w:tcPr>
            <w:tcW w:type="dxa" w:w="7460"/>
            <w:vAlign w:val="center"/>
          </w:tcPr>
          <w:p>
            <w:pPr>
              <w:pStyle w:val="TableBody"/>
              <w:spacing w:before="0" w:after="0" w:line="252" w:lineRule="auto"/>
              <w:jc w:val="left"/>
            </w:pPr>
            <w:r>
              <w:rPr>
                <w:rFonts w:ascii="Calibri" w:hAnsi="Calibri" w:eastAsia="Calibri"/>
                <w:b w:val="0"/>
                <w:color w:val="111827"/>
                <w:sz w:val="16"/>
              </w:rPr>
              <w:t>A linked child reassessment record created after dependency-reachable invalidation; its complete changed-material RunSpec is validated before parent Reentry is appended and before the child is initialized.</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PassageModel</w:t>
            </w:r>
          </w:p>
        </w:tc>
        <w:tc>
          <w:tcPr>
            <w:tcW w:type="dxa" w:w="7460"/>
            <w:vAlign w:val="center"/>
          </w:tcPr>
          <w:p>
            <w:pPr>
              <w:pStyle w:val="TableBody"/>
              <w:spacing w:before="0" w:after="0" w:line="252" w:lineRule="auto"/>
              <w:jc w:val="left"/>
            </w:pPr>
            <w:r>
              <w:rPr>
                <w:rFonts w:ascii="Calibri" w:hAnsi="Calibri" w:eastAsia="Calibri"/>
                <w:b w:val="0"/>
                <w:color w:val="111827"/>
                <w:sz w:val="16"/>
              </w:rPr>
              <w:t>A typed referenced artifact supplied by a domain regime; not a sixth persistent core record.</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views</w:t>
            </w:r>
          </w:p>
        </w:tc>
        <w:tc>
          <w:tcPr>
            <w:tcW w:type="dxa" w:w="7460"/>
            <w:vAlign w:val="center"/>
          </w:tcPr>
          <w:p>
            <w:pPr>
              <w:pStyle w:val="TableBody"/>
              <w:spacing w:before="0" w:after="0" w:line="252" w:lineRule="auto"/>
              <w:jc w:val="left"/>
            </w:pPr>
            <w:r>
              <w:rPr>
                <w:rFonts w:ascii="Calibri" w:hAnsi="Calibri" w:eastAsia="Calibri"/>
                <w:b w:val="0"/>
                <w:color w:val="111827"/>
                <w:sz w:val="16"/>
              </w:rPr>
              <w:t>All maps, plans, dashboards, packets, and readable projections are derived and carry no editable authority.</w:t>
            </w:r>
          </w:p>
        </w:tc>
      </w:tr>
    </w:tbl>
    <w:p>
      <w:pPr>
        <w:spacing w:after="0"/>
      </w:pPr>
    </w:p>
    <w:tbl>
      <w:tblPr>
        <w:tblW w:type="dxa" w:w="9360"/>
        <w:tblLayout w:type="fixed"/>
        <w:tblLook w:firstColumn="1" w:firstRow="1" w:lastColumn="0" w:lastRow="0" w:noHBand="0" w:noVBand="1" w:val="04A0"/>
        <w:tblInd w:w="120" w:type="dxa"/>
        <w:tblBorders>
          <w:top w:val="single" w:sz="0" w:space="0" w:color="E8EEF5"/>
          <w:left w:val="single" w:sz="0" w:space="0" w:color="E8EEF5"/>
          <w:bottom w:val="single" w:sz="0" w:space="0" w:color="E8EEF5"/>
          <w:right w:val="single" w:sz="0" w:space="0" w:color="E8EEF5"/>
          <w:insideH w:val="single" w:sz="0" w:space="0" w:color="E8EEF5"/>
          <w:insideV w:val="single" w:sz="0" w:space="0" w:color="E8EEF5"/>
        </w:tblBorders>
      </w:tblPr>
      <w:tblGrid>
        <w:gridCol w:w="9360"/>
      </w:tblGrid>
      <w:tr>
        <w:trPr>
          <w:trHeight w:hRule="atLeast"/>
          <w:cantSplit w:val="true"/>
          <w:tblHeader w:val="true"/>
        </w:trPr>
        <w:tc>
          <w:tcPr>
            <w:tcW w:type="dxa" w:w="9360"/>
            <w:tcMar>
              <w:top w:w="80" w:type="dxa"/>
              <w:start w:w="120" w:type="dxa"/>
              <w:bottom w:w="80" w:type="dxa"/>
              <w:end w:w="120" w:type="dxa"/>
            </w:tcMar>
            <w:shd w:fill="E8EEF5" w:val="clear"/>
          </w:tcPr>
          <w:p>
            <w:pPr>
              <w:spacing w:before="20" w:after="20" w:line="276" w:lineRule="auto"/>
            </w:pPr>
            <w:r>
              <w:rPr>
                <w:rFonts w:ascii="Calibri" w:hAnsi="Calibri" w:eastAsia="Calibri"/>
                <w:b/>
                <w:color w:val="2E74B5"/>
                <w:sz w:val="17"/>
              </w:rPr>
              <w:t xml:space="preserve">AUTHORITY  </w:t>
            </w:r>
            <w:r>
              <w:rPr>
                <w:rFonts w:ascii="Calibri" w:hAnsi="Calibri" w:eastAsia="Calibri"/>
                <w:color w:val="0B2545"/>
                <w:sz w:val="20"/>
              </w:rPr>
              <w:t>The canonical file spec/system.json is the sole normative release source. The DOCX, schemas, prompts, code views, examples, theory projection, lexicon, anomaly reserve, and tests are derived or supportive and cannot silently enlarge it.</w:t>
            </w:r>
          </w:p>
        </w:tc>
      </w:tr>
    </w:tbl>
    <w:p>
      <w:pPr>
        <w:spacing w:after="0"/>
      </w:pPr>
    </w:p>
    <w:p>
      <w:pPr>
        <w:pStyle w:val="Heading2"/>
      </w:pPr>
      <w:r>
        <w:rPr>
          <w:rFonts w:ascii="Calibri" w:hAnsi="Calibri" w:eastAsia="Calibri"/>
        </w:rPr>
        <w:t>Reference profile</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850"/>
        <w:gridCol w:w="7510"/>
      </w:tblGrid>
      <w:tr>
        <w:trPr>
          <w:trHeight w:hRule="atLeast"/>
          <w:cantSplit w:val="true"/>
          <w:tblHeader w:val="true"/>
        </w:trPr>
        <w:tc>
          <w:tcPr>
            <w:tcW w:type="dxa" w:w="185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Field</w:t>
            </w:r>
          </w:p>
        </w:tc>
        <w:tc>
          <w:tcPr>
            <w:tcW w:type="dxa" w:w="7510"/>
            <w:tcMar>
              <w:top w:w="80" w:type="dxa"/>
              <w:start w:w="120" w:type="dxa"/>
              <w:bottom w:w="80" w:type="dxa"/>
              <w:end w:w="120" w:type="dxa"/>
            </w:tcMar>
            <w:shd w:fill="E8EEF5" w:val="clear"/>
            <w:vAlign w:val="center"/>
          </w:tcPr>
          <w:p>
            <w:pPr>
              <w:pStyle w:val="TableBody"/>
              <w:spacing w:before="0" w:after="0" w:line="252" w:lineRule="auto"/>
              <w:jc w:val="left"/>
            </w:pPr>
            <w:r>
              <w:rPr>
                <w:rFonts w:ascii="Calibri" w:hAnsi="Calibri" w:eastAsia="Calibri"/>
                <w:b/>
                <w:color w:val="0B2545"/>
                <w:sz w:val="16"/>
              </w:rPr>
              <w:t>Exact boundary</w:t>
            </w:r>
          </w:p>
        </w:tc>
      </w:tr>
      <w:tr>
        <w:trPr>
          <w:cantSplit w:val="true"/>
        </w:trPr>
        <w:tc>
          <w:tcPr>
            <w:tcW w:type="dxa" w:w="1850"/>
            <w:vAlign w:val="center"/>
          </w:tcPr>
          <w:p>
            <w:pPr>
              <w:pStyle w:val="TableBody"/>
              <w:spacing w:before="0" w:after="0" w:line="252" w:lineRule="auto"/>
              <w:jc w:val="left"/>
            </w:pPr>
            <w:r>
              <w:rPr>
                <w:rFonts w:ascii="Calibri" w:hAnsi="Calibri" w:eastAsia="Calibri"/>
                <w:b w:val="0"/>
                <w:color w:val="111827"/>
                <w:sz w:val="15"/>
              </w:rPr>
              <w:t>Role</w:t>
            </w:r>
          </w:p>
        </w:tc>
        <w:tc>
          <w:tcPr>
            <w:tcW w:type="dxa" w:w="7510"/>
            <w:vAlign w:val="center"/>
          </w:tcPr>
          <w:p>
            <w:pPr>
              <w:pStyle w:val="TableBody"/>
              <w:spacing w:before="0" w:after="0" w:line="252" w:lineRule="auto"/>
              <w:jc w:val="left"/>
            </w:pPr>
            <w:r>
              <w:rPr>
                <w:rFonts w:ascii="Calibri" w:hAnsi="Calibri" w:eastAsia="Calibri"/>
                <w:b w:val="0"/>
                <w:color w:val="111827"/>
                <w:sz w:val="15"/>
              </w:rPr>
              <w:t>FINITE RECORD AND ORCHESTRATION REFERENCE</w:t>
            </w:r>
          </w:p>
        </w:tc>
      </w:tr>
      <w:tr>
        <w:trPr>
          <w:cantSplit w:val="true"/>
        </w:trPr>
        <w:tc>
          <w:tcPr>
            <w:tcW w:type="dxa" w:w="1850"/>
            <w:vAlign w:val="center"/>
          </w:tcPr>
          <w:p>
            <w:pPr>
              <w:pStyle w:val="TableBody"/>
              <w:spacing w:before="0" w:after="0" w:line="252" w:lineRule="auto"/>
              <w:jc w:val="left"/>
            </w:pPr>
            <w:r>
              <w:rPr>
                <w:rFonts w:ascii="Calibri" w:hAnsi="Calibri" w:eastAsia="Calibri"/>
                <w:b w:val="0"/>
                <w:color w:val="111827"/>
                <w:sz w:val="15"/>
              </w:rPr>
              <w:t>Implemented</w:t>
            </w:r>
          </w:p>
        </w:tc>
        <w:tc>
          <w:tcPr>
            <w:tcW w:type="dxa" w:w="7510"/>
            <w:vAlign w:val="center"/>
          </w:tcPr>
          <w:p>
            <w:pPr>
              <w:pStyle w:val="TableBody"/>
              <w:spacing w:before="0" w:after="0" w:line="252" w:lineRule="auto"/>
              <w:jc w:val="left"/>
            </w:pPr>
            <w:r>
              <w:rPr>
                <w:rFonts w:ascii="Calibri" w:hAnsi="Calibri" w:eastAsia="Calibri"/>
                <w:b w:val="0"/>
                <w:color w:val="111827"/>
                <w:sz w:val="15"/>
              </w:rPr>
              <w:t>strict canonical records under runtime validators and declared schema profiles; prompt projection and fingerprinting; append-only event chain; typed Hinge, Trial, Binding, Seal, Return, Outcome, and Reentry validation; finite Passage assessment under PASSAGE_IDENTITY; capped dormant reserve lookup; structural audit, replay, manifest, and adversarial tests</w:t>
            </w:r>
          </w:p>
        </w:tc>
      </w:tr>
      <w:tr>
        <w:trPr>
          <w:cantSplit w:val="true"/>
        </w:trPr>
        <w:tc>
          <w:tcPr>
            <w:tcW w:type="dxa" w:w="1850"/>
            <w:vAlign w:val="center"/>
          </w:tcPr>
          <w:p>
            <w:pPr>
              <w:pStyle w:val="TableBody"/>
              <w:spacing w:before="0" w:after="0" w:line="252" w:lineRule="auto"/>
              <w:jc w:val="left"/>
            </w:pPr>
            <w:r>
              <w:rPr>
                <w:rFonts w:ascii="Calibri" w:hAnsi="Calibri" w:eastAsia="Calibri"/>
                <w:b w:val="0"/>
                <w:color w:val="111827"/>
                <w:sz w:val="15"/>
              </w:rPr>
              <w:t>Not implemented</w:t>
            </w:r>
          </w:p>
        </w:tc>
        <w:tc>
          <w:tcPr>
            <w:tcW w:type="dxa" w:w="7510"/>
            <w:vAlign w:val="center"/>
          </w:tcPr>
          <w:p>
            <w:pPr>
              <w:pStyle w:val="TableBody"/>
              <w:spacing w:before="0" w:after="0" w:line="252" w:lineRule="auto"/>
              <w:jc w:val="left"/>
            </w:pPr>
            <w:r>
              <w:rPr>
                <w:rFonts w:ascii="Calibri" w:hAnsi="Calibri" w:eastAsia="Calibri"/>
                <w:b w:val="0"/>
                <w:color w:val="111827"/>
                <w:sz w:val="15"/>
              </w:rPr>
              <w:t>model hosting or proof of an external model's full effective context; open-world evidence discovery; domain Judgment, permission, safety, or authority engines; external execution adapter; world observation, attribution, effect, or durability verification</w:t>
            </w:r>
          </w:p>
        </w:tc>
      </w:tr>
      <w:tr>
        <w:trPr>
          <w:cantSplit w:val="true"/>
        </w:trPr>
        <w:tc>
          <w:tcPr>
            <w:tcW w:type="dxa" w:w="1850"/>
            <w:vAlign w:val="center"/>
          </w:tcPr>
          <w:p>
            <w:pPr>
              <w:pStyle w:val="TableBody"/>
              <w:spacing w:before="0" w:after="0" w:line="252" w:lineRule="auto"/>
              <w:jc w:val="left"/>
            </w:pPr>
            <w:r>
              <w:rPr>
                <w:rFonts w:ascii="Calibri" w:hAnsi="Calibri" w:eastAsia="Calibri"/>
                <w:b w:val="0"/>
                <w:color w:val="111827"/>
                <w:sz w:val="15"/>
              </w:rPr>
              <w:t>Numeric rule</w:t>
            </w:r>
          </w:p>
        </w:tc>
        <w:tc>
          <w:tcPr>
            <w:tcW w:type="dxa" w:w="7510"/>
            <w:vAlign w:val="center"/>
          </w:tcPr>
          <w:p>
            <w:pPr>
              <w:pStyle w:val="TableBody"/>
              <w:spacing w:before="0" w:after="0" w:line="252" w:lineRule="auto"/>
              <w:jc w:val="left"/>
            </w:pPr>
            <w:r>
              <w:rPr>
                <w:rFonts w:ascii="Calibri" w:hAnsi="Calibri" w:eastAsia="Calibri"/>
                <w:b w:val="0"/>
                <w:color w:val="111827"/>
                <w:sz w:val="15"/>
              </w:rPr>
              <w:t>Canonical records use integers or exact decimal strings; binary floating-point values are refused.</w:t>
            </w:r>
          </w:p>
        </w:tc>
      </w:tr>
    </w:tbl>
    <w:p>
      <w:pPr>
        <w:spacing w:after="0"/>
      </w:pPr>
    </w:p>
    <w:tbl>
      <w:tblPr>
        <w:tblW w:type="dxa" w:w="9360"/>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trHeight w:hRule="atLeast"/>
          <w:cantSplit w:val="true"/>
          <w:tblHeader w:val="true"/>
        </w:trPr>
        <w:tc>
          <w:tcPr>
            <w:tcW w:type="dxa" w:w="9360"/>
            <w:tcMar>
              <w:top w:w="80" w:type="dxa"/>
              <w:start w:w="120" w:type="dxa"/>
              <w:bottom w:w="80" w:type="dxa"/>
              <w:end w:w="120" w:type="dxa"/>
            </w:tcMar>
            <w:shd w:fill="F4F6F9" w:val="clear"/>
          </w:tcPr>
          <w:p>
            <w:pPr>
              <w:spacing w:before="20" w:after="20" w:line="276" w:lineRule="auto"/>
            </w:pPr>
            <w:r>
              <w:rPr>
                <w:rFonts w:ascii="Calibri" w:hAnsi="Calibri" w:eastAsia="Calibri"/>
                <w:b/>
                <w:color w:val="8A6600"/>
                <w:sz w:val="17"/>
              </w:rPr>
              <w:t xml:space="preserve">NON-SIMULATION RULE  </w:t>
            </w:r>
            <w:r>
              <w:rPr>
                <w:rFonts w:ascii="Calibri" w:hAnsi="Calibri" w:eastAsia="Calibri"/>
                <w:color w:val="0B2545"/>
                <w:sz w:val="20"/>
              </w:rPr>
              <w:t>An absent implementation is OPEN or NOT_APPLICABLE, never silently simulated by a string, hash, prompt, or receipt. Payload EARNED is a supplied local-regime assertion; runtime PASS earns structural conformance only, not domain truth. In the 0.1 OutcomeReceipt, only recommendation may be EARNED; every later stage is forced OPEN or NOT_APPLICABLE.</w:t>
            </w:r>
          </w:p>
        </w:tc>
      </w:tr>
    </w:tbl>
    <w:p>
      <w:pPr>
        <w:spacing w:after="0"/>
      </w:pPr>
    </w:p>
    <w:p>
      <w:pPr>
        <w:pStyle w:val="Heading2"/>
      </w:pPr>
      <w:r>
        <w:rPr>
          <w:rFonts w:ascii="Calibri" w:hAnsi="Calibri" w:eastAsia="Calibri"/>
        </w:rPr>
        <w:t>Adapter contract</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850"/>
        <w:gridCol w:w="7510"/>
      </w:tblGrid>
      <w:tr>
        <w:trPr>
          <w:trHeight w:hRule="atLeast"/>
          <w:cantSplit w:val="true"/>
          <w:tblHeader w:val="true"/>
        </w:trPr>
        <w:tc>
          <w:tcPr>
            <w:tcW w:type="dxa" w:w="185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Field</w:t>
            </w:r>
          </w:p>
        </w:tc>
        <w:tc>
          <w:tcPr>
            <w:tcW w:type="dxa" w:w="7510"/>
            <w:tcMar>
              <w:top w:w="80" w:type="dxa"/>
              <w:start w:w="120" w:type="dxa"/>
              <w:bottom w:w="80" w:type="dxa"/>
              <w:end w:w="120" w:type="dxa"/>
            </w:tcMar>
            <w:shd w:fill="E8EEF5" w:val="clear"/>
            <w:vAlign w:val="center"/>
          </w:tcPr>
          <w:p>
            <w:pPr>
              <w:pStyle w:val="TableBody"/>
              <w:spacing w:before="0" w:after="0" w:line="252" w:lineRule="auto"/>
              <w:jc w:val="left"/>
            </w:pPr>
            <w:r>
              <w:rPr>
                <w:rFonts w:ascii="Calibri" w:hAnsi="Calibri" w:eastAsia="Calibri"/>
                <w:b/>
                <w:color w:val="0B2545"/>
                <w:sz w:val="16"/>
              </w:rPr>
              <w:t>Exact boundary</w:t>
            </w:r>
          </w:p>
        </w:tc>
      </w:tr>
      <w:tr>
        <w:trPr>
          <w:cantSplit w:val="true"/>
        </w:trPr>
        <w:tc>
          <w:tcPr>
            <w:tcW w:type="dxa" w:w="1850"/>
            <w:vAlign w:val="center"/>
          </w:tcPr>
          <w:p>
            <w:pPr>
              <w:pStyle w:val="TableBody"/>
              <w:spacing w:before="0" w:after="0" w:line="252" w:lineRule="auto"/>
              <w:jc w:val="left"/>
            </w:pPr>
            <w:r>
              <w:rPr>
                <w:rFonts w:ascii="Calibri" w:hAnsi="Calibri" w:eastAsia="Calibri"/>
                <w:b w:val="0"/>
                <w:color w:val="111827"/>
                <w:sz w:val="15"/>
              </w:rPr>
              <w:t>Reference status</w:t>
            </w:r>
          </w:p>
        </w:tc>
        <w:tc>
          <w:tcPr>
            <w:tcW w:type="dxa" w:w="7510"/>
            <w:vAlign w:val="center"/>
          </w:tcPr>
          <w:p>
            <w:pPr>
              <w:pStyle w:val="TableBody"/>
              <w:spacing w:before="0" w:after="0" w:line="252" w:lineRule="auto"/>
              <w:jc w:val="left"/>
            </w:pPr>
            <w:r>
              <w:rPr>
                <w:rFonts w:ascii="Calibri" w:hAnsi="Calibri" w:eastAsia="Calibri"/>
                <w:b w:val="0"/>
                <w:color w:val="111827"/>
                <w:sz w:val="15"/>
              </w:rPr>
              <w:t>NOT_INCLUDED</w:t>
            </w:r>
          </w:p>
        </w:tc>
      </w:tr>
      <w:tr>
        <w:trPr>
          <w:cantSplit w:val="true"/>
        </w:trPr>
        <w:tc>
          <w:tcPr>
            <w:tcW w:type="dxa" w:w="1850"/>
            <w:vAlign w:val="center"/>
          </w:tcPr>
          <w:p>
            <w:pPr>
              <w:pStyle w:val="TableBody"/>
              <w:spacing w:before="0" w:after="0" w:line="252" w:lineRule="auto"/>
              <w:jc w:val="left"/>
            </w:pPr>
            <w:r>
              <w:rPr>
                <w:rFonts w:ascii="Calibri" w:hAnsi="Calibri" w:eastAsia="Calibri"/>
                <w:b w:val="0"/>
                <w:color w:val="111827"/>
                <w:sz w:val="15"/>
              </w:rPr>
              <w:t>Required inputs</w:t>
            </w:r>
          </w:p>
        </w:tc>
        <w:tc>
          <w:tcPr>
            <w:tcW w:type="dxa" w:w="7510"/>
            <w:vAlign w:val="center"/>
          </w:tcPr>
          <w:p>
            <w:pPr>
              <w:pStyle w:val="TableBody"/>
              <w:spacing w:before="0" w:after="0" w:line="252" w:lineRule="auto"/>
              <w:jc w:val="left"/>
            </w:pPr>
            <w:r>
              <w:rPr>
                <w:rFonts w:ascii="Calibri" w:hAnsi="Calibri" w:eastAsia="Calibri"/>
                <w:b w:val="0"/>
                <w:color w:val="111827"/>
                <w:sz w:val="15"/>
              </w:rPr>
              <w:t>a contract-complete adapter request; actor and target identities; domain-local authority and permission witnesses; preconditions and protected conditions; operation identity and parameters; duplicate/idempotency policy; recovery, reconciliation, and irreversibility boundary; observation and Outcome Receipt interfaces</w:t>
            </w:r>
          </w:p>
        </w:tc>
      </w:tr>
      <w:tr>
        <w:trPr>
          <w:cantSplit w:val="true"/>
        </w:trPr>
        <w:tc>
          <w:tcPr>
            <w:tcW w:type="dxa" w:w="1850"/>
            <w:vAlign w:val="center"/>
          </w:tcPr>
          <w:p>
            <w:pPr>
              <w:pStyle w:val="TableBody"/>
              <w:spacing w:before="0" w:after="0" w:line="252" w:lineRule="auto"/>
              <w:jc w:val="left"/>
            </w:pPr>
            <w:r>
              <w:rPr>
                <w:rFonts w:ascii="Calibri" w:hAnsi="Calibri" w:eastAsia="Calibri"/>
                <w:b w:val="0"/>
                <w:color w:val="111827"/>
                <w:sz w:val="15"/>
              </w:rPr>
              <w:t>Required separation</w:t>
            </w:r>
          </w:p>
        </w:tc>
        <w:tc>
          <w:tcPr>
            <w:tcW w:type="dxa" w:w="7510"/>
            <w:vAlign w:val="center"/>
          </w:tcPr>
          <w:p>
            <w:pPr>
              <w:pStyle w:val="TableBody"/>
              <w:spacing w:before="0" w:after="0" w:line="252" w:lineRule="auto"/>
              <w:jc w:val="left"/>
            </w:pPr>
            <w:r>
              <w:rPr>
                <w:rFonts w:ascii="Calibri" w:hAnsi="Calibri" w:eastAsia="Calibri"/>
                <w:b w:val="0"/>
                <w:color w:val="111827"/>
                <w:sz w:val="15"/>
              </w:rPr>
              <w:t>request, permission, attempt, execution, occurrence, technical receipt, observation, evaluation, attribution, effect, and durability</w:t>
            </w:r>
          </w:p>
        </w:tc>
      </w:tr>
      <w:tr>
        <w:trPr>
          <w:cantSplit w:val="true"/>
        </w:trPr>
        <w:tc>
          <w:tcPr>
            <w:tcW w:type="dxa" w:w="1850"/>
            <w:vAlign w:val="center"/>
          </w:tcPr>
          <w:p>
            <w:pPr>
              <w:pStyle w:val="TableBody"/>
              <w:spacing w:before="0" w:after="0" w:line="252" w:lineRule="auto"/>
              <w:jc w:val="left"/>
            </w:pPr>
            <w:r>
              <w:rPr>
                <w:rFonts w:ascii="Calibri" w:hAnsi="Calibri" w:eastAsia="Calibri"/>
                <w:b w:val="0"/>
                <w:color w:val="111827"/>
                <w:sz w:val="15"/>
              </w:rPr>
              <w:t>Failure</w:t>
            </w:r>
          </w:p>
        </w:tc>
        <w:tc>
          <w:tcPr>
            <w:tcW w:type="dxa" w:w="7510"/>
            <w:vAlign w:val="center"/>
          </w:tcPr>
          <w:p>
            <w:pPr>
              <w:pStyle w:val="TableBody"/>
              <w:spacing w:before="0" w:after="0" w:line="252" w:lineRule="auto"/>
              <w:jc w:val="left"/>
            </w:pPr>
            <w:r>
              <w:rPr>
                <w:rFonts w:ascii="Calibri" w:hAnsi="Calibri" w:eastAsia="Calibri"/>
                <w:b w:val="0"/>
                <w:color w:val="111827"/>
                <w:sz w:val="15"/>
              </w:rPr>
              <w:t>Missing or invalid adapter obligations return exact OPEN; a represented operation is never an execution claim.</w:t>
            </w:r>
          </w:p>
        </w:tc>
      </w:tr>
      <w:tr>
        <w:trPr>
          <w:cantSplit w:val="true"/>
        </w:trPr>
        <w:tc>
          <w:tcPr>
            <w:tcW w:type="dxa" w:w="1850"/>
            <w:vAlign w:val="center"/>
          </w:tcPr>
          <w:p>
            <w:pPr>
              <w:pStyle w:val="TableBody"/>
              <w:spacing w:before="0" w:after="0" w:line="252" w:lineRule="auto"/>
              <w:jc w:val="left"/>
            </w:pPr>
            <w:r>
              <w:rPr>
                <w:rFonts w:ascii="Calibri" w:hAnsi="Calibri" w:eastAsia="Calibri"/>
                <w:b w:val="0"/>
                <w:color w:val="111827"/>
                <w:sz w:val="15"/>
              </w:rPr>
              <w:t>Reentry</w:t>
            </w:r>
          </w:p>
        </w:tc>
        <w:tc>
          <w:tcPr>
            <w:tcW w:type="dxa" w:w="7510"/>
            <w:vAlign w:val="center"/>
          </w:tcPr>
          <w:p>
            <w:pPr>
              <w:pStyle w:val="TableBody"/>
              <w:spacing w:before="0" w:after="0" w:line="252" w:lineRule="auto"/>
              <w:jc w:val="left"/>
            </w:pPr>
            <w:r>
              <w:rPr>
                <w:rFonts w:ascii="Calibri" w:hAnsi="Calibri" w:eastAsia="Calibri"/>
                <w:b w:val="0"/>
                <w:color w:val="111827"/>
                <w:sz w:val="15"/>
              </w:rPr>
              <w:t>Install and qualify a domain adapter, re-earn authority and permission locally, create a new Seal, then record stage-specific evidence.</w:t>
            </w:r>
          </w:p>
        </w:tc>
      </w:tr>
    </w:tbl>
    <w:p>
      <w:pPr>
        <w:spacing w:after="0"/>
      </w:pPr>
    </w:p>
    <w:p>
      <w:pPr>
        <w:pStyle w:val="Heading1"/>
      </w:pPr>
      <w:r>
        <w:t>14  Worked example: the collapsed mine</w:t>
      </w:r>
    </w:p>
    <w:p>
      <w:pPr>
        <w:pStyle w:val="Kicker"/>
        <w:keepNext/>
      </w:pPr>
      <w:r>
        <w:rPr>
          <w:rFonts w:ascii="Calibri" w:hAnsi="Calibri" w:eastAsia="Calibri"/>
          <w:color w:val="667085"/>
        </w:rPr>
        <w:t>A compact demonstration of passage, resource roles, exact OPEN, and reentry.</w:t>
      </w:r>
    </w:p>
    <w:p>
      <w:pPr>
        <w:pStyle w:val="Lead"/>
      </w:pPr>
      <w:r>
        <w:rPr>
          <w:rFonts w:ascii="Calibri" w:hAnsi="Calibri" w:eastAsia="Calibri"/>
        </w:rPr>
        <w:t>Determine what the collapsed entrance changes, whether ore is still a usable resource, and what should happen next.</w:t>
      </w:r>
    </w:p>
    <w:tbl>
      <w:tblPr>
        <w:tblW w:type="dxa" w:w="9360"/>
        <w:tblLayout w:type="fixed"/>
        <w:tblLook w:firstColumn="1" w:firstRow="1" w:lastColumn="0" w:lastRow="0" w:noHBand="0" w:noVBand="1" w:val="04A0"/>
        <w:tblInd w:w="120" w:type="dxa"/>
        <w:tblBorders>
          <w:top w:val="single" w:sz="0" w:space="0" w:color="E8EEF5"/>
          <w:left w:val="single" w:sz="0" w:space="0" w:color="E8EEF5"/>
          <w:bottom w:val="single" w:sz="0" w:space="0" w:color="E8EEF5"/>
          <w:right w:val="single" w:sz="0" w:space="0" w:color="E8EEF5"/>
          <w:insideH w:val="single" w:sz="0" w:space="0" w:color="E8EEF5"/>
          <w:insideV w:val="single" w:sz="0" w:space="0" w:color="E8EEF5"/>
        </w:tblBorders>
      </w:tblPr>
      <w:tblGrid>
        <w:gridCol w:w="9360"/>
      </w:tblGrid>
      <w:tr>
        <w:trPr>
          <w:trHeight w:hRule="atLeast"/>
          <w:cantSplit w:val="true"/>
          <w:tblHeader w:val="true"/>
        </w:trPr>
        <w:tc>
          <w:tcPr>
            <w:tcW w:type="dxa" w:w="9360"/>
            <w:tcMar>
              <w:top w:w="80" w:type="dxa"/>
              <w:start w:w="120" w:type="dxa"/>
              <w:bottom w:w="80" w:type="dxa"/>
              <w:end w:w="120" w:type="dxa"/>
            </w:tcMar>
            <w:shd w:fill="E8EEF5" w:val="clear"/>
          </w:tcPr>
          <w:p>
            <w:pPr>
              <w:spacing w:before="20" w:after="20" w:line="276" w:lineRule="auto"/>
            </w:pPr>
            <w:r>
              <w:rPr>
                <w:rFonts w:ascii="Calibri" w:hAnsi="Calibri" w:eastAsia="Calibri"/>
                <w:b/>
                <w:color w:val="2E74B5"/>
                <w:sz w:val="17"/>
              </w:rPr>
              <w:t xml:space="preserve">KEY CORRECTION  </w:t>
            </w:r>
            <w:r>
              <w:rPr>
                <w:rFonts w:ascii="Calibri" w:hAnsi="Calibri" w:eastAsia="Calibri"/>
                <w:color w:val="0B2545"/>
                <w:sz w:val="20"/>
              </w:rPr>
              <w:t>A collapsed entrance can close a qualified access route without deleting the mineral stock. Remaining stock is not thereby accessible, recoverable, deliverable, usable, or economically accepted yield.</w:t>
            </w:r>
          </w:p>
        </w:tc>
      </w:tr>
    </w:tbl>
    <w:p>
      <w:pPr>
        <w:spacing w:after="0"/>
      </w:pPr>
    </w:p>
    <w:p>
      <w:pPr>
        <w:pStyle w:val="Heading2"/>
      </w:pPr>
      <w:r>
        <w:rPr>
          <w:rFonts w:ascii="Calibri" w:hAnsi="Calibri" w:eastAsia="Calibri"/>
        </w:rPr>
        <w:t>Passage model slice</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550"/>
        <w:gridCol w:w="2150"/>
        <w:gridCol w:w="1250"/>
        <w:gridCol w:w="4410"/>
      </w:tblGrid>
      <w:tr>
        <w:trPr>
          <w:trHeight w:hRule="atLeast"/>
          <w:cantSplit w:val="true"/>
          <w:tblHeader w:val="true"/>
        </w:trPr>
        <w:tc>
          <w:tcPr>
            <w:tcW w:type="dxa" w:w="155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Passage</w:t>
            </w:r>
          </w:p>
        </w:tc>
        <w:tc>
          <w:tcPr>
            <w:tcW w:type="dxa" w:w="2150"/>
            <w:tcMar>
              <w:top w:w="80" w:type="dxa"/>
              <w:start w:w="120" w:type="dxa"/>
              <w:bottom w:w="80" w:type="dxa"/>
              <w:end w:w="120" w:type="dxa"/>
            </w:tcMar>
            <w:shd w:fill="E8EEF5" w:val="clear"/>
            <w:vAlign w:val="center"/>
          </w:tcPr>
          <w:p>
            <w:pPr>
              <w:pStyle w:val="TableBody"/>
              <w:spacing w:before="0" w:after="0" w:line="252" w:lineRule="auto"/>
              <w:jc w:val="left"/>
            </w:pPr>
            <w:r>
              <w:rPr>
                <w:rFonts w:ascii="Calibri" w:hAnsi="Calibri" w:eastAsia="Calibri"/>
                <w:b/>
                <w:color w:val="0B2545"/>
                <w:sz w:val="16"/>
              </w:rPr>
              <w:t>Configuration change</w:t>
            </w:r>
          </w:p>
        </w:tc>
        <w:tc>
          <w:tcPr>
            <w:tcW w:type="dxa" w:w="125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Status</w:t>
            </w:r>
          </w:p>
        </w:tc>
        <w:tc>
          <w:tcPr>
            <w:tcW w:type="dxa" w:w="4410"/>
            <w:tcMar>
              <w:top w:w="80" w:type="dxa"/>
              <w:start w:w="120" w:type="dxa"/>
              <w:bottom w:w="80" w:type="dxa"/>
              <w:end w:w="120" w:type="dxa"/>
            </w:tcMar>
            <w:shd w:fill="E8EEF5" w:val="clear"/>
            <w:vAlign w:val="center"/>
          </w:tcPr>
          <w:p>
            <w:pPr>
              <w:pStyle w:val="TableBody"/>
              <w:spacing w:before="0" w:after="0" w:line="252" w:lineRule="auto"/>
              <w:jc w:val="left"/>
            </w:pPr>
            <w:r>
              <w:rPr>
                <w:rFonts w:ascii="Calibri" w:hAnsi="Calibri" w:eastAsia="Calibri"/>
                <w:b/>
                <w:color w:val="0B2545"/>
                <w:sz w:val="16"/>
              </w:rPr>
              <w:t>Conditions / bottlenecks</w:t>
            </w:r>
          </w:p>
        </w:tc>
      </w:tr>
      <w:tr>
        <w:trPr>
          <w:cantSplit w:val="true"/>
        </w:trPr>
        <w:tc>
          <w:tcPr>
            <w:tcW w:type="dxa" w:w="1550"/>
            <w:vAlign w:val="center"/>
          </w:tcPr>
          <w:p>
            <w:pPr>
              <w:pStyle w:val="TableBody"/>
              <w:spacing w:before="0" w:after="0" w:line="252" w:lineRule="auto"/>
              <w:jc w:val="left"/>
            </w:pPr>
            <w:r>
              <w:rPr>
                <w:rFonts w:ascii="Calibri" w:hAnsi="Calibri" w:eastAsia="Calibri"/>
                <w:b w:val="0"/>
                <w:color w:val="111827"/>
                <w:sz w:val="15"/>
              </w:rPr>
              <w:t>P-EXTRACT</w:t>
            </w:r>
          </w:p>
        </w:tc>
        <w:tc>
          <w:tcPr>
            <w:tcW w:type="dxa" w:w="2150"/>
            <w:vAlign w:val="center"/>
          </w:tcPr>
          <w:p>
            <w:pPr>
              <w:pStyle w:val="TableBody"/>
              <w:spacing w:before="0" w:after="0" w:line="252" w:lineRule="auto"/>
              <w:jc w:val="left"/>
            </w:pPr>
            <w:r>
              <w:rPr>
                <w:rFonts w:ascii="Calibri" w:hAnsi="Calibri" w:eastAsia="Calibri"/>
                <w:b w:val="0"/>
                <w:color w:val="111827"/>
                <w:sz w:val="15"/>
              </w:rPr>
              <w:t>C-ACCESSIBLE → C-ACCESSIBLE</w:t>
            </w:r>
          </w:p>
        </w:tc>
        <w:tc>
          <w:tcPr>
            <w:tcW w:type="dxa" w:w="1250"/>
            <w:vAlign w:val="center"/>
          </w:tcPr>
          <w:p>
            <w:pPr>
              <w:pStyle w:val="TableBody"/>
              <w:spacing w:before="0" w:after="0" w:line="252" w:lineRule="auto"/>
              <w:jc w:val="left"/>
            </w:pPr>
            <w:r>
              <w:rPr>
                <w:rFonts w:ascii="Calibri" w:hAnsi="Calibri" w:eastAsia="Calibri"/>
                <w:b w:val="0"/>
                <w:color w:val="111827"/>
                <w:sz w:val="15"/>
              </w:rPr>
              <w:t>QUALIFIED</w:t>
            </w:r>
          </w:p>
        </w:tc>
        <w:tc>
          <w:tcPr>
            <w:tcW w:type="dxa" w:w="4410"/>
            <w:vAlign w:val="center"/>
          </w:tcPr>
          <w:p>
            <w:pPr>
              <w:pStyle w:val="TableBody"/>
              <w:spacing w:before="0" w:after="0" w:line="252" w:lineRule="auto"/>
              <w:jc w:val="left"/>
            </w:pPr>
            <w:r>
              <w:rPr>
                <w:rFonts w:ascii="Calibri" w:hAnsi="Calibri" w:eastAsia="Calibri"/>
                <w:b w:val="0"/>
                <w:color w:val="111827"/>
                <w:sz w:val="15"/>
              </w:rPr>
              <w:t>illustrative access qualification</w:t>
            </w:r>
          </w:p>
        </w:tc>
      </w:tr>
      <w:tr>
        <w:trPr>
          <w:cantSplit w:val="true"/>
        </w:trPr>
        <w:tc>
          <w:tcPr>
            <w:tcW w:type="dxa" w:w="1550"/>
            <w:vAlign w:val="center"/>
          </w:tcPr>
          <w:p>
            <w:pPr>
              <w:pStyle w:val="TableBody"/>
              <w:spacing w:before="0" w:after="0" w:line="252" w:lineRule="auto"/>
              <w:jc w:val="left"/>
            </w:pPr>
            <w:r>
              <w:rPr>
                <w:rFonts w:ascii="Calibri" w:hAnsi="Calibri" w:eastAsia="Calibri"/>
                <w:b w:val="0"/>
                <w:color w:val="111827"/>
                <w:sz w:val="15"/>
              </w:rPr>
              <w:t>P-COLLAPSE</w:t>
            </w:r>
          </w:p>
        </w:tc>
        <w:tc>
          <w:tcPr>
            <w:tcW w:type="dxa" w:w="2150"/>
            <w:vAlign w:val="center"/>
          </w:tcPr>
          <w:p>
            <w:pPr>
              <w:pStyle w:val="TableBody"/>
              <w:spacing w:before="0" w:after="0" w:line="252" w:lineRule="auto"/>
              <w:jc w:val="left"/>
            </w:pPr>
            <w:r>
              <w:rPr>
                <w:rFonts w:ascii="Calibri" w:hAnsi="Calibri" w:eastAsia="Calibri"/>
                <w:b w:val="0"/>
                <w:color w:val="111827"/>
                <w:sz w:val="15"/>
              </w:rPr>
              <w:t>C-ACCESSIBLE → C-COLLAPSED</w:t>
            </w:r>
          </w:p>
        </w:tc>
        <w:tc>
          <w:tcPr>
            <w:tcW w:type="dxa" w:w="1250"/>
            <w:vAlign w:val="center"/>
          </w:tcPr>
          <w:p>
            <w:pPr>
              <w:pStyle w:val="TableBody"/>
              <w:spacing w:before="0" w:after="0" w:line="252" w:lineRule="auto"/>
              <w:jc w:val="left"/>
            </w:pPr>
            <w:r>
              <w:rPr>
                <w:rFonts w:ascii="Calibri" w:hAnsi="Calibri" w:eastAsia="Calibri"/>
                <w:b w:val="0"/>
                <w:color w:val="111827"/>
                <w:sz w:val="15"/>
              </w:rPr>
              <w:t>QUALIFIED</w:t>
            </w:r>
          </w:p>
        </w:tc>
        <w:tc>
          <w:tcPr>
            <w:tcW w:type="dxa" w:w="4410"/>
            <w:vAlign w:val="center"/>
          </w:tcPr>
          <w:p>
            <w:pPr>
              <w:pStyle w:val="TableBody"/>
              <w:spacing w:before="0" w:after="0" w:line="252" w:lineRule="auto"/>
              <w:jc w:val="left"/>
            </w:pPr>
            <w:r>
              <w:rPr>
                <w:rFonts w:ascii="Calibri" w:hAnsi="Calibri" w:eastAsia="Calibri"/>
                <w:b w:val="0"/>
                <w:color w:val="111827"/>
                <w:sz w:val="15"/>
              </w:rPr>
              <w:t>collapse occurs</w:t>
            </w:r>
          </w:p>
        </w:tc>
      </w:tr>
      <w:tr>
        <w:trPr>
          <w:cantSplit w:val="true"/>
        </w:trPr>
        <w:tc>
          <w:tcPr>
            <w:tcW w:type="dxa" w:w="1550"/>
            <w:vAlign w:val="center"/>
          </w:tcPr>
          <w:p>
            <w:pPr>
              <w:pStyle w:val="TableBody"/>
              <w:spacing w:before="0" w:after="0" w:line="252" w:lineRule="auto"/>
              <w:jc w:val="left"/>
            </w:pPr>
            <w:r>
              <w:rPr>
                <w:rFonts w:ascii="Calibri" w:hAnsi="Calibri" w:eastAsia="Calibri"/>
                <w:b w:val="0"/>
                <w:color w:val="111827"/>
                <w:sz w:val="15"/>
              </w:rPr>
              <w:t>P-EXTRACT-BLOCKED</w:t>
            </w:r>
          </w:p>
        </w:tc>
        <w:tc>
          <w:tcPr>
            <w:tcW w:type="dxa" w:w="2150"/>
            <w:vAlign w:val="center"/>
          </w:tcPr>
          <w:p>
            <w:pPr>
              <w:pStyle w:val="TableBody"/>
              <w:spacing w:before="0" w:after="0" w:line="252" w:lineRule="auto"/>
              <w:jc w:val="left"/>
            </w:pPr>
            <w:r>
              <w:rPr>
                <w:rFonts w:ascii="Calibri" w:hAnsi="Calibri" w:eastAsia="Calibri"/>
                <w:b w:val="0"/>
                <w:color w:val="111827"/>
                <w:sz w:val="15"/>
              </w:rPr>
              <w:t>C-COLLAPSED → C-COLLAPSED</w:t>
            </w:r>
          </w:p>
        </w:tc>
        <w:tc>
          <w:tcPr>
            <w:tcW w:type="dxa" w:w="1250"/>
            <w:vAlign w:val="center"/>
          </w:tcPr>
          <w:p>
            <w:pPr>
              <w:pStyle w:val="TableBody"/>
              <w:spacing w:before="0" w:after="0" w:line="252" w:lineRule="auto"/>
              <w:jc w:val="left"/>
            </w:pPr>
            <w:r>
              <w:rPr>
                <w:rFonts w:ascii="Calibri" w:hAnsi="Calibri" w:eastAsia="Calibri"/>
                <w:b w:val="0"/>
                <w:color w:val="111827"/>
                <w:sz w:val="15"/>
              </w:rPr>
              <w:t>DISQUALIFIED</w:t>
            </w:r>
          </w:p>
        </w:tc>
        <w:tc>
          <w:tcPr>
            <w:tcW w:type="dxa" w:w="4410"/>
            <w:vAlign w:val="center"/>
          </w:tcPr>
          <w:p>
            <w:pPr>
              <w:pStyle w:val="TableBody"/>
              <w:spacing w:before="0" w:after="0" w:line="252" w:lineRule="auto"/>
              <w:jc w:val="left"/>
            </w:pPr>
            <w:r>
              <w:rPr>
                <w:rFonts w:ascii="Calibri" w:hAnsi="Calibri" w:eastAsia="Calibri"/>
                <w:b w:val="0"/>
                <w:color w:val="111827"/>
                <w:sz w:val="15"/>
              </w:rPr>
              <w:t>blocked access; unestablished stability; missing permission</w:t>
            </w:r>
          </w:p>
        </w:tc>
      </w:tr>
      <w:tr>
        <w:trPr>
          <w:cantSplit w:val="true"/>
        </w:trPr>
        <w:tc>
          <w:tcPr>
            <w:tcW w:type="dxa" w:w="1550"/>
            <w:vAlign w:val="center"/>
          </w:tcPr>
          <w:p>
            <w:pPr>
              <w:pStyle w:val="TableBody"/>
              <w:spacing w:before="0" w:after="0" w:line="252" w:lineRule="auto"/>
              <w:jc w:val="left"/>
            </w:pPr>
            <w:r>
              <w:rPr>
                <w:rFonts w:ascii="Calibri" w:hAnsi="Calibri" w:eastAsia="Calibri"/>
                <w:b w:val="0"/>
                <w:color w:val="111827"/>
                <w:sz w:val="15"/>
              </w:rPr>
              <w:t>P-CLEAR</w:t>
            </w:r>
          </w:p>
        </w:tc>
        <w:tc>
          <w:tcPr>
            <w:tcW w:type="dxa" w:w="2150"/>
            <w:vAlign w:val="center"/>
          </w:tcPr>
          <w:p>
            <w:pPr>
              <w:pStyle w:val="TableBody"/>
              <w:spacing w:before="0" w:after="0" w:line="252" w:lineRule="auto"/>
              <w:jc w:val="left"/>
            </w:pPr>
            <w:r>
              <w:rPr>
                <w:rFonts w:ascii="Calibri" w:hAnsi="Calibri" w:eastAsia="Calibri"/>
                <w:b w:val="0"/>
                <w:color w:val="111827"/>
                <w:sz w:val="15"/>
              </w:rPr>
              <w:t>C-COLLAPSED → C-REOPENED</w:t>
            </w:r>
          </w:p>
        </w:tc>
        <w:tc>
          <w:tcPr>
            <w:tcW w:type="dxa" w:w="1250"/>
            <w:vAlign w:val="center"/>
          </w:tcPr>
          <w:p>
            <w:pPr>
              <w:pStyle w:val="TableBody"/>
              <w:spacing w:before="0" w:after="0" w:line="252" w:lineRule="auto"/>
              <w:jc w:val="left"/>
            </w:pPr>
            <w:r>
              <w:rPr>
                <w:rFonts w:ascii="Calibri" w:hAnsi="Calibri" w:eastAsia="Calibri"/>
                <w:b w:val="0"/>
                <w:color w:val="111827"/>
                <w:sz w:val="15"/>
              </w:rPr>
              <w:t>OPEN</w:t>
            </w:r>
          </w:p>
        </w:tc>
        <w:tc>
          <w:tcPr>
            <w:tcW w:type="dxa" w:w="4410"/>
            <w:vAlign w:val="center"/>
          </w:tcPr>
          <w:p>
            <w:pPr>
              <w:pStyle w:val="TableBody"/>
              <w:spacing w:before="0" w:after="0" w:line="252" w:lineRule="auto"/>
              <w:jc w:val="left"/>
            </w:pPr>
            <w:r>
              <w:rPr>
                <w:rFonts w:ascii="Calibri" w:hAnsi="Calibri" w:eastAsia="Calibri"/>
                <w:b w:val="0"/>
                <w:color w:val="111827"/>
                <w:sz w:val="15"/>
              </w:rPr>
              <w:t>unknown stability; unknown cost</w:t>
            </w:r>
          </w:p>
        </w:tc>
      </w:tr>
      <w:tr>
        <w:trPr>
          <w:cantSplit w:val="true"/>
        </w:trPr>
        <w:tc>
          <w:tcPr>
            <w:tcW w:type="dxa" w:w="1550"/>
            <w:vAlign w:val="center"/>
          </w:tcPr>
          <w:p>
            <w:pPr>
              <w:pStyle w:val="TableBody"/>
              <w:spacing w:before="0" w:after="0" w:line="252" w:lineRule="auto"/>
              <w:jc w:val="left"/>
            </w:pPr>
            <w:r>
              <w:rPr>
                <w:rFonts w:ascii="Calibri" w:hAnsi="Calibri" w:eastAsia="Calibri"/>
                <w:b w:val="0"/>
                <w:color w:val="111827"/>
                <w:sz w:val="15"/>
              </w:rPr>
              <w:t>P-DRILL</w:t>
            </w:r>
          </w:p>
        </w:tc>
        <w:tc>
          <w:tcPr>
            <w:tcW w:type="dxa" w:w="2150"/>
            <w:vAlign w:val="center"/>
          </w:tcPr>
          <w:p>
            <w:pPr>
              <w:pStyle w:val="TableBody"/>
              <w:spacing w:before="0" w:after="0" w:line="252" w:lineRule="auto"/>
              <w:jc w:val="left"/>
            </w:pPr>
            <w:r>
              <w:rPr>
                <w:rFonts w:ascii="Calibri" w:hAnsi="Calibri" w:eastAsia="Calibri"/>
                <w:b w:val="0"/>
                <w:color w:val="111827"/>
                <w:sz w:val="15"/>
              </w:rPr>
              <w:t>C-COLLAPSED → C-REOPENED</w:t>
            </w:r>
          </w:p>
        </w:tc>
        <w:tc>
          <w:tcPr>
            <w:tcW w:type="dxa" w:w="1250"/>
            <w:vAlign w:val="center"/>
          </w:tcPr>
          <w:p>
            <w:pPr>
              <w:pStyle w:val="TableBody"/>
              <w:spacing w:before="0" w:after="0" w:line="252" w:lineRule="auto"/>
              <w:jc w:val="left"/>
            </w:pPr>
            <w:r>
              <w:rPr>
                <w:rFonts w:ascii="Calibri" w:hAnsi="Calibri" w:eastAsia="Calibri"/>
                <w:b w:val="0"/>
                <w:color w:val="111827"/>
                <w:sz w:val="15"/>
              </w:rPr>
              <w:t>OPEN</w:t>
            </w:r>
          </w:p>
        </w:tc>
        <w:tc>
          <w:tcPr>
            <w:tcW w:type="dxa" w:w="4410"/>
            <w:vAlign w:val="center"/>
          </w:tcPr>
          <w:p>
            <w:pPr>
              <w:pStyle w:val="TableBody"/>
              <w:spacing w:before="0" w:after="0" w:line="252" w:lineRule="auto"/>
              <w:jc w:val="left"/>
            </w:pPr>
            <w:r>
              <w:rPr>
                <w:rFonts w:ascii="Calibri" w:hAnsi="Calibri" w:eastAsia="Calibri"/>
                <w:b w:val="0"/>
                <w:color w:val="111827"/>
                <w:sz w:val="15"/>
              </w:rPr>
              <w:t>unknown geology; unknown economics</w:t>
            </w:r>
          </w:p>
        </w:tc>
      </w:tr>
      <w:tr>
        <w:trPr>
          <w:cantSplit w:val="true"/>
        </w:trPr>
        <w:tc>
          <w:tcPr>
            <w:tcW w:type="dxa" w:w="1550"/>
            <w:vAlign w:val="center"/>
          </w:tcPr>
          <w:p>
            <w:pPr>
              <w:pStyle w:val="TableBody"/>
              <w:spacing w:before="0" w:after="0" w:line="252" w:lineRule="auto"/>
              <w:jc w:val="left"/>
            </w:pPr>
            <w:r>
              <w:rPr>
                <w:rFonts w:ascii="Calibri" w:hAnsi="Calibri" w:eastAsia="Calibri"/>
                <w:b w:val="0"/>
                <w:color w:val="111827"/>
                <w:sz w:val="15"/>
              </w:rPr>
              <w:t>P-EXTRACT-RESTORED</w:t>
            </w:r>
          </w:p>
        </w:tc>
        <w:tc>
          <w:tcPr>
            <w:tcW w:type="dxa" w:w="2150"/>
            <w:vAlign w:val="center"/>
          </w:tcPr>
          <w:p>
            <w:pPr>
              <w:pStyle w:val="TableBody"/>
              <w:spacing w:before="0" w:after="0" w:line="252" w:lineRule="auto"/>
              <w:jc w:val="left"/>
            </w:pPr>
            <w:r>
              <w:rPr>
                <w:rFonts w:ascii="Calibri" w:hAnsi="Calibri" w:eastAsia="Calibri"/>
                <w:b w:val="0"/>
                <w:color w:val="111827"/>
                <w:sz w:val="15"/>
              </w:rPr>
              <w:t>C-REOPENED → C-REOPENED</w:t>
            </w:r>
          </w:p>
        </w:tc>
        <w:tc>
          <w:tcPr>
            <w:tcW w:type="dxa" w:w="1250"/>
            <w:vAlign w:val="center"/>
          </w:tcPr>
          <w:p>
            <w:pPr>
              <w:pStyle w:val="TableBody"/>
              <w:spacing w:before="0" w:after="0" w:line="252" w:lineRule="auto"/>
              <w:jc w:val="left"/>
            </w:pPr>
            <w:r>
              <w:rPr>
                <w:rFonts w:ascii="Calibri" w:hAnsi="Calibri" w:eastAsia="Calibri"/>
                <w:b w:val="0"/>
                <w:color w:val="111827"/>
                <w:sz w:val="15"/>
              </w:rPr>
              <w:t>OPEN</w:t>
            </w:r>
          </w:p>
        </w:tc>
        <w:tc>
          <w:tcPr>
            <w:tcW w:type="dxa" w:w="4410"/>
            <w:vAlign w:val="center"/>
          </w:tcPr>
          <w:p>
            <w:pPr>
              <w:pStyle w:val="TableBody"/>
              <w:spacing w:before="0" w:after="0" w:line="252" w:lineRule="auto"/>
              <w:jc w:val="left"/>
            </w:pPr>
            <w:r>
              <w:rPr>
                <w:rFonts w:ascii="Calibri" w:hAnsi="Calibri" w:eastAsia="Calibri"/>
                <w:b w:val="0"/>
                <w:color w:val="111827"/>
                <w:sz w:val="15"/>
              </w:rPr>
              <w:t>route qualification; stock confirmation; processing and delivery</w:t>
            </w:r>
          </w:p>
        </w:tc>
      </w:tr>
    </w:tbl>
    <w:p>
      <w:pPr>
        <w:spacing w:after="0"/>
      </w:pPr>
    </w:p>
    <w:p>
      <w:r>
        <w:rPr>
          <w:rFonts w:ascii="Calibri" w:hAnsi="Calibri" w:eastAsia="Calibri"/>
        </w:rPr>
        <w:t>Within declared K, the qualified outgoing field closes P-COLLAPSE, P-EXTRACT; remediation candidates remain OPEN, and stock destruction is not established.</w:t>
      </w:r>
    </w:p>
    <w:p>
      <w:pPr>
        <w:pStyle w:val="Heading2"/>
      </w:pPr>
      <w:r>
        <w:rPr>
          <w:rFonts w:ascii="Calibri" w:hAnsi="Calibri" w:eastAsia="Calibri"/>
        </w:rPr>
        <w:t>Resource Account</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900"/>
        <w:gridCol w:w="2200"/>
        <w:gridCol w:w="5260"/>
      </w:tblGrid>
      <w:tr>
        <w:trPr>
          <w:trHeight w:hRule="atLeast"/>
          <w:cantSplit w:val="true"/>
          <w:tblHeader w:val="true"/>
        </w:trPr>
        <w:tc>
          <w:tcPr>
            <w:tcW w:type="dxa" w:w="190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Component</w:t>
            </w:r>
          </w:p>
        </w:tc>
        <w:tc>
          <w:tcPr>
            <w:tcW w:type="dxa" w:w="220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Role</w:t>
            </w:r>
          </w:p>
        </w:tc>
        <w:tc>
          <w:tcPr>
            <w:tcW w:type="dxa" w:w="5260"/>
            <w:tcMar>
              <w:top w:w="80" w:type="dxa"/>
              <w:start w:w="120" w:type="dxa"/>
              <w:bottom w:w="80" w:type="dxa"/>
              <w:end w:w="120" w:type="dxa"/>
            </w:tcMar>
            <w:shd w:fill="E8EEF5" w:val="clear"/>
            <w:vAlign w:val="center"/>
          </w:tcPr>
          <w:p>
            <w:pPr>
              <w:pStyle w:val="TableBody"/>
              <w:spacing w:before="0" w:after="0" w:line="252" w:lineRule="auto"/>
              <w:jc w:val="left"/>
            </w:pPr>
            <w:r>
              <w:rPr>
                <w:rFonts w:ascii="Calibri" w:hAnsi="Calibri" w:eastAsia="Calibri"/>
                <w:b/>
                <w:color w:val="0B2545"/>
                <w:sz w:val="16"/>
              </w:rPr>
              <w:t>What changed</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Ore</w:t>
            </w:r>
          </w:p>
        </w:tc>
        <w:tc>
          <w:tcPr>
            <w:tcW w:type="dxa" w:w="2200"/>
            <w:vAlign w:val="center"/>
          </w:tcPr>
          <w:p>
            <w:pPr>
              <w:pStyle w:val="TableBody"/>
              <w:spacing w:before="0" w:after="0" w:line="252" w:lineRule="auto"/>
              <w:jc w:val="left"/>
            </w:pPr>
            <w:r>
              <w:rPr>
                <w:rFonts w:ascii="Calibri" w:hAnsi="Calibri" w:eastAsia="Calibri"/>
                <w:b w:val="0"/>
                <w:color w:val="111827"/>
                <w:sz w:val="16"/>
              </w:rPr>
              <w:t>payload / candidate stock</w:t>
            </w:r>
          </w:p>
        </w:tc>
        <w:tc>
          <w:tcPr>
            <w:tcW w:type="dxa" w:w="5260"/>
            <w:vAlign w:val="center"/>
          </w:tcPr>
          <w:p>
            <w:pPr>
              <w:pStyle w:val="TableBody"/>
              <w:spacing w:before="0" w:after="0" w:line="252" w:lineRule="auto"/>
              <w:jc w:val="left"/>
            </w:pPr>
            <w:r>
              <w:rPr>
                <w:rFonts w:ascii="Calibri" w:hAnsi="Calibri" w:eastAsia="Calibri"/>
                <w:b w:val="0"/>
                <w:color w:val="111827"/>
                <w:sz w:val="16"/>
              </w:rPr>
              <w:t>Its remaining quantity and quality are OPEN; collapse does not prove destruction.</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Entrance and shaft</w:t>
            </w:r>
          </w:p>
        </w:tc>
        <w:tc>
          <w:tcPr>
            <w:tcW w:type="dxa" w:w="2200"/>
            <w:vAlign w:val="center"/>
          </w:tcPr>
          <w:p>
            <w:pPr>
              <w:pStyle w:val="TableBody"/>
              <w:spacing w:before="0" w:after="0" w:line="252" w:lineRule="auto"/>
              <w:jc w:val="left"/>
            </w:pPr>
            <w:r>
              <w:rPr>
                <w:rFonts w:ascii="Calibri" w:hAnsi="Calibri" w:eastAsia="Calibri"/>
                <w:b w:val="0"/>
                <w:color w:val="111827"/>
                <w:sz w:val="16"/>
              </w:rPr>
              <w:t>carrier → blocked route / liability</w:t>
            </w:r>
          </w:p>
        </w:tc>
        <w:tc>
          <w:tcPr>
            <w:tcW w:type="dxa" w:w="5260"/>
            <w:vAlign w:val="center"/>
          </w:tcPr>
          <w:p>
            <w:pPr>
              <w:pStyle w:val="TableBody"/>
              <w:spacing w:before="0" w:after="0" w:line="252" w:lineRule="auto"/>
              <w:jc w:val="left"/>
            </w:pPr>
            <w:r>
              <w:rPr>
                <w:rFonts w:ascii="Calibri" w:hAnsi="Calibri" w:eastAsia="Calibri"/>
                <w:b w:val="0"/>
                <w:color w:val="111827"/>
                <w:sz w:val="16"/>
              </w:rPr>
              <w:t>Known route loses qualification.</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Supports</w:t>
            </w:r>
          </w:p>
        </w:tc>
        <w:tc>
          <w:tcPr>
            <w:tcW w:type="dxa" w:w="2200"/>
            <w:vAlign w:val="center"/>
          </w:tcPr>
          <w:p>
            <w:pPr>
              <w:pStyle w:val="TableBody"/>
              <w:spacing w:before="0" w:after="0" w:line="252" w:lineRule="auto"/>
              <w:jc w:val="left"/>
            </w:pPr>
            <w:r>
              <w:rPr>
                <w:rFonts w:ascii="Calibri" w:hAnsi="Calibri" w:eastAsia="Calibri"/>
                <w:b w:val="0"/>
                <w:color w:val="111827"/>
                <w:sz w:val="16"/>
              </w:rPr>
              <w:t>support</w:t>
            </w:r>
          </w:p>
        </w:tc>
        <w:tc>
          <w:tcPr>
            <w:tcW w:type="dxa" w:w="5260"/>
            <w:vAlign w:val="center"/>
          </w:tcPr>
          <w:p>
            <w:pPr>
              <w:pStyle w:val="TableBody"/>
              <w:spacing w:before="0" w:after="0" w:line="252" w:lineRule="auto"/>
              <w:jc w:val="left"/>
            </w:pPr>
            <w:r>
              <w:rPr>
                <w:rFonts w:ascii="Calibri" w:hAnsi="Calibri" w:eastAsia="Calibri"/>
                <w:b w:val="0"/>
                <w:color w:val="111827"/>
                <w:sz w:val="16"/>
              </w:rPr>
              <w:t>Stability and new loads are OPEN.</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Equipment and energy</w:t>
            </w:r>
          </w:p>
        </w:tc>
        <w:tc>
          <w:tcPr>
            <w:tcW w:type="dxa" w:w="2200"/>
            <w:vAlign w:val="center"/>
          </w:tcPr>
          <w:p>
            <w:pPr>
              <w:pStyle w:val="TableBody"/>
              <w:spacing w:before="0" w:after="0" w:line="252" w:lineRule="auto"/>
              <w:jc w:val="left"/>
            </w:pPr>
            <w:r>
              <w:rPr>
                <w:rFonts w:ascii="Calibri" w:hAnsi="Calibri" w:eastAsia="Calibri"/>
                <w:b w:val="0"/>
                <w:color w:val="111827"/>
                <w:sz w:val="16"/>
              </w:rPr>
              <w:t>tool / input</w:t>
            </w:r>
          </w:p>
        </w:tc>
        <w:tc>
          <w:tcPr>
            <w:tcW w:type="dxa" w:w="5260"/>
            <w:vAlign w:val="center"/>
          </w:tcPr>
          <w:p>
            <w:pPr>
              <w:pStyle w:val="TableBody"/>
              <w:spacing w:before="0" w:after="0" w:line="252" w:lineRule="auto"/>
              <w:jc w:val="left"/>
            </w:pPr>
            <w:r>
              <w:rPr>
                <w:rFonts w:ascii="Calibri" w:hAnsi="Calibri" w:eastAsia="Calibri"/>
                <w:b w:val="0"/>
                <w:color w:val="111827"/>
                <w:sz w:val="16"/>
              </w:rPr>
              <w:t>May enable inspection or remediation; capability and permission remain OPEN.</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Debris and tailings</w:t>
            </w:r>
          </w:p>
        </w:tc>
        <w:tc>
          <w:tcPr>
            <w:tcW w:type="dxa" w:w="2200"/>
            <w:vAlign w:val="center"/>
          </w:tcPr>
          <w:p>
            <w:pPr>
              <w:pStyle w:val="TableBody"/>
              <w:spacing w:before="0" w:after="0" w:line="252" w:lineRule="auto"/>
              <w:jc w:val="left"/>
            </w:pPr>
            <w:r>
              <w:rPr>
                <w:rFonts w:ascii="Calibri" w:hAnsi="Calibri" w:eastAsia="Calibri"/>
                <w:b w:val="0"/>
                <w:color w:val="111827"/>
                <w:sz w:val="16"/>
              </w:rPr>
              <w:t>residue / liability</w:t>
            </w:r>
          </w:p>
        </w:tc>
        <w:tc>
          <w:tcPr>
            <w:tcW w:type="dxa" w:w="5260"/>
            <w:vAlign w:val="center"/>
          </w:tcPr>
          <w:p>
            <w:pPr>
              <w:pStyle w:val="TableBody"/>
              <w:spacing w:before="0" w:after="0" w:line="252" w:lineRule="auto"/>
              <w:jc w:val="left"/>
            </w:pPr>
            <w:r>
              <w:rPr>
                <w:rFonts w:ascii="Calibri" w:hAnsi="Calibri" w:eastAsia="Calibri"/>
                <w:b w:val="0"/>
                <w:color w:val="111827"/>
                <w:sz w:val="16"/>
              </w:rPr>
              <w:t>Burden may transfer or grow; local removal is not system disappearance.</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6"/>
              </w:rPr>
              <w:t>Engineered route</w:t>
            </w:r>
          </w:p>
        </w:tc>
        <w:tc>
          <w:tcPr>
            <w:tcW w:type="dxa" w:w="2200"/>
            <w:vAlign w:val="center"/>
          </w:tcPr>
          <w:p>
            <w:pPr>
              <w:pStyle w:val="TableBody"/>
              <w:spacing w:before="0" w:after="0" w:line="252" w:lineRule="auto"/>
              <w:jc w:val="left"/>
            </w:pPr>
            <w:r>
              <w:rPr>
                <w:rFonts w:ascii="Calibri" w:hAnsi="Calibri" w:eastAsia="Calibri"/>
                <w:b w:val="0"/>
                <w:color w:val="111827"/>
                <w:sz w:val="16"/>
              </w:rPr>
              <w:t>candidate carrier / option</w:t>
            </w:r>
          </w:p>
        </w:tc>
        <w:tc>
          <w:tcPr>
            <w:tcW w:type="dxa" w:w="5260"/>
            <w:vAlign w:val="center"/>
          </w:tcPr>
          <w:p>
            <w:pPr>
              <w:pStyle w:val="TableBody"/>
              <w:spacing w:before="0" w:after="0" w:line="252" w:lineRule="auto"/>
              <w:jc w:val="left"/>
            </w:pPr>
            <w:r>
              <w:rPr>
                <w:rFonts w:ascii="Calibri" w:hAnsi="Calibri" w:eastAsia="Calibri"/>
                <w:b w:val="0"/>
                <w:color w:val="111827"/>
                <w:sz w:val="16"/>
              </w:rPr>
              <w:t>Could reopen Passage but has no standing until feasibility, safety, authority, and resources close.</w:t>
            </w:r>
          </w:p>
        </w:tc>
      </w:tr>
    </w:tbl>
    <w:p>
      <w:pPr>
        <w:spacing w:after="0"/>
      </w:pPr>
    </w:p>
    <w:p>
      <w:pPr>
        <w:pStyle w:val="Heading2"/>
      </w:pPr>
      <w:r>
        <w:rPr>
          <w:rFonts w:ascii="Calibri" w:hAnsi="Calibri" w:eastAsia="Calibri"/>
        </w:rPr>
        <w:t>Return Envelope</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250"/>
        <w:gridCol w:w="1150"/>
        <w:gridCol w:w="4400"/>
        <w:gridCol w:w="2560"/>
      </w:tblGrid>
      <w:tr>
        <w:trPr>
          <w:trHeight w:hRule="atLeast"/>
          <w:cantSplit w:val="true"/>
          <w:tblHeader w:val="true"/>
        </w:trPr>
        <w:tc>
          <w:tcPr>
            <w:tcW w:type="dxa" w:w="125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Field</w:t>
            </w:r>
          </w:p>
        </w:tc>
        <w:tc>
          <w:tcPr>
            <w:tcW w:type="dxa" w:w="115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Outcome</w:t>
            </w:r>
          </w:p>
        </w:tc>
        <w:tc>
          <w:tcPr>
            <w:tcW w:type="dxa" w:w="4400"/>
            <w:tcMar>
              <w:top w:w="80" w:type="dxa"/>
              <w:start w:w="120" w:type="dxa"/>
              <w:bottom w:w="80" w:type="dxa"/>
              <w:end w:w="120" w:type="dxa"/>
            </w:tcMar>
            <w:shd w:fill="E8EEF5" w:val="clear"/>
            <w:vAlign w:val="center"/>
          </w:tcPr>
          <w:p>
            <w:pPr>
              <w:pStyle w:val="TableBody"/>
              <w:spacing w:before="0" w:after="0" w:line="252" w:lineRule="auto"/>
              <w:jc w:val="left"/>
            </w:pPr>
            <w:r>
              <w:rPr>
                <w:rFonts w:ascii="Calibri" w:hAnsi="Calibri" w:eastAsia="Calibri"/>
                <w:b/>
                <w:color w:val="0B2545"/>
                <w:sz w:val="16"/>
              </w:rPr>
              <w:t>Native Return</w:t>
            </w:r>
          </w:p>
        </w:tc>
        <w:tc>
          <w:tcPr>
            <w:tcW w:type="dxa" w:w="2560"/>
            <w:tcMar>
              <w:top w:w="80" w:type="dxa"/>
              <w:start w:w="120" w:type="dxa"/>
              <w:bottom w:w="80" w:type="dxa"/>
              <w:end w:w="120" w:type="dxa"/>
            </w:tcMar>
            <w:shd w:fill="E8EEF5" w:val="clear"/>
            <w:vAlign w:val="center"/>
          </w:tcPr>
          <w:p>
            <w:pPr>
              <w:pStyle w:val="TableBody"/>
              <w:spacing w:before="0" w:after="0" w:line="252" w:lineRule="auto"/>
              <w:jc w:val="left"/>
            </w:pPr>
            <w:r>
              <w:rPr>
                <w:rFonts w:ascii="Calibri" w:hAnsi="Calibri" w:eastAsia="Calibri"/>
                <w:b/>
                <w:color w:val="0B2545"/>
                <w:sz w:val="16"/>
              </w:rPr>
              <w:t>Ceiling / limit</w:t>
            </w:r>
          </w:p>
        </w:tc>
      </w:tr>
      <w:tr>
        <w:trPr>
          <w:cantSplit w:val="true"/>
        </w:trPr>
        <w:tc>
          <w:tcPr>
            <w:tcW w:type="dxa" w:w="1250"/>
            <w:vAlign w:val="center"/>
          </w:tcPr>
          <w:p>
            <w:pPr>
              <w:pStyle w:val="TableBody"/>
              <w:spacing w:before="0" w:after="0" w:line="252" w:lineRule="auto"/>
              <w:jc w:val="left"/>
            </w:pPr>
            <w:r>
              <w:rPr>
                <w:rFonts w:ascii="Calibri" w:hAnsi="Calibri" w:eastAsia="Calibri"/>
                <w:b w:val="0"/>
                <w:color w:val="111827"/>
                <w:sz w:val="15"/>
              </w:rPr>
              <w:t>extraction-status</w:t>
            </w:r>
          </w:p>
        </w:tc>
        <w:tc>
          <w:tcPr>
            <w:tcW w:type="dxa" w:w="1150"/>
            <w:vAlign w:val="center"/>
          </w:tcPr>
          <w:p>
            <w:pPr>
              <w:pStyle w:val="TableBody"/>
              <w:spacing w:before="0" w:after="0" w:line="252" w:lineRule="auto"/>
              <w:jc w:val="left"/>
            </w:pPr>
            <w:r>
              <w:rPr>
                <w:rFonts w:ascii="Calibri" w:hAnsi="Calibri" w:eastAsia="Calibri"/>
                <w:b w:val="0"/>
                <w:color w:val="111827"/>
                <w:sz w:val="15"/>
              </w:rPr>
              <w:t>EARNED</w:t>
            </w:r>
          </w:p>
        </w:tc>
        <w:tc>
          <w:tcPr>
            <w:tcW w:type="dxa" w:w="4400"/>
            <w:vAlign w:val="center"/>
          </w:tcPr>
          <w:p>
            <w:pPr>
              <w:pStyle w:val="TableBody"/>
              <w:spacing w:before="0" w:after="0" w:line="252" w:lineRule="auto"/>
              <w:jc w:val="left"/>
            </w:pPr>
            <w:r>
              <w:rPr>
                <w:rFonts w:ascii="Calibri" w:hAnsi="Calibri" w:eastAsia="Calibri"/>
                <w:b w:val="0"/>
                <w:color w:val="111827"/>
                <w:sz w:val="15"/>
              </w:rPr>
              <w:t>The known entrance is blocked. Remaining material may still be stock, but accessible, recoverable, deliverable, and economically accepted yield are not established.</w:t>
            </w:r>
          </w:p>
        </w:tc>
        <w:tc>
          <w:tcPr>
            <w:tcW w:type="dxa" w:w="2560"/>
            <w:vAlign w:val="center"/>
          </w:tcPr>
          <w:p>
            <w:pPr>
              <w:pStyle w:val="TableBody"/>
              <w:spacing w:before="0" w:after="0" w:line="252" w:lineRule="auto"/>
              <w:jc w:val="left"/>
            </w:pPr>
            <w:r>
              <w:rPr>
                <w:rFonts w:ascii="Calibri" w:hAnsi="Calibri" w:eastAsia="Calibri"/>
                <w:b w:val="0"/>
                <w:color w:val="111827"/>
                <w:sz w:val="15"/>
              </w:rPr>
              <w:t>The supplied scenario is not independent geological evidence.</w:t>
            </w:r>
          </w:p>
        </w:tc>
      </w:tr>
      <w:tr>
        <w:trPr>
          <w:cantSplit w:val="true"/>
        </w:trPr>
        <w:tc>
          <w:tcPr>
            <w:tcW w:type="dxa" w:w="1250"/>
            <w:vAlign w:val="center"/>
          </w:tcPr>
          <w:p>
            <w:pPr>
              <w:pStyle w:val="TableBody"/>
              <w:spacing w:before="0" w:after="0" w:line="252" w:lineRule="auto"/>
              <w:jc w:val="left"/>
            </w:pPr>
            <w:r>
              <w:rPr>
                <w:rFonts w:ascii="Calibri" w:hAnsi="Calibri" w:eastAsia="Calibri"/>
                <w:b w:val="0"/>
                <w:color w:val="111827"/>
                <w:sz w:val="15"/>
              </w:rPr>
              <w:t>next-action</w:t>
            </w:r>
          </w:p>
        </w:tc>
        <w:tc>
          <w:tcPr>
            <w:tcW w:type="dxa" w:w="1150"/>
            <w:vAlign w:val="center"/>
          </w:tcPr>
          <w:p>
            <w:pPr>
              <w:pStyle w:val="TableBody"/>
              <w:spacing w:before="0" w:after="0" w:line="252" w:lineRule="auto"/>
              <w:jc w:val="left"/>
            </w:pPr>
            <w:r>
              <w:rPr>
                <w:rFonts w:ascii="Calibri" w:hAnsi="Calibri" w:eastAsia="Calibri"/>
                <w:b w:val="0"/>
                <w:color w:val="111827"/>
                <w:sz w:val="15"/>
              </w:rPr>
              <w:t>OPEN</w:t>
            </w:r>
          </w:p>
        </w:tc>
        <w:tc>
          <w:tcPr>
            <w:tcW w:type="dxa" w:w="4400"/>
            <w:vAlign w:val="center"/>
          </w:tcPr>
          <w:p>
            <w:pPr>
              <w:pStyle w:val="TableBody"/>
              <w:spacing w:before="0" w:after="0" w:line="252" w:lineRule="auto"/>
              <w:jc w:val="left"/>
            </w:pPr>
            <w:r>
              <w:rPr>
                <w:rFonts w:ascii="Calibri" w:hAnsi="Calibri" w:eastAsia="Calibri"/>
                <w:b w:val="0"/>
                <w:color w:val="111827"/>
                <w:sz w:val="15"/>
              </w:rPr>
              <w:t>Do not enter. Seek selection and permission for the least-exposure qualified inspection that can discriminate stock and route conditions.</w:t>
            </w:r>
          </w:p>
        </w:tc>
        <w:tc>
          <w:tcPr>
            <w:tcW w:type="dxa" w:w="2560"/>
            <w:vAlign w:val="center"/>
          </w:tcPr>
          <w:p>
            <w:pPr>
              <w:pStyle w:val="TableBody"/>
              <w:spacing w:before="0" w:after="0" w:line="252" w:lineRule="auto"/>
              <w:jc w:val="left"/>
            </w:pPr>
            <w:r>
              <w:rPr>
                <w:rFonts w:ascii="Calibri" w:hAnsi="Calibri" w:eastAsia="Calibri"/>
                <w:b w:val="0"/>
                <w:color w:val="111827"/>
                <w:sz w:val="15"/>
              </w:rPr>
              <w:t>No method, permission, operator, safety acceptance, or schedule is established.</w:t>
            </w:r>
          </w:p>
        </w:tc>
      </w:tr>
    </w:tbl>
    <w:p>
      <w:pPr>
        <w:spacing w:after="0"/>
      </w:pPr>
    </w:p>
    <w:p>
      <w:pPr>
        <w:pStyle w:val="Heading2"/>
      </w:pPr>
      <w:r>
        <w:rPr>
          <w:rFonts w:ascii="Calibri" w:hAnsi="Calibri" w:eastAsia="Calibri"/>
        </w:rPr>
        <w:t>Earliest useful reentry</w:t>
      </w:r>
    </w:p>
    <w:p>
      <w:pPr>
        <w:pStyle w:val="ListBullet"/>
      </w:pPr>
      <w:r>
        <w:rPr>
          <w:rFonts w:ascii="Calibri" w:hAnsi="Calibri" w:eastAsia="Calibri"/>
        </w:rPr>
        <w:t>First break: No qualified inspection plan or authority decision exists.</w:t>
      </w:r>
    </w:p>
    <w:p>
      <w:pPr>
        <w:pStyle w:val="ListBullet"/>
      </w:pPr>
      <w:r>
        <w:rPr>
          <w:rFonts w:ascii="Calibri" w:hAnsi="Calibri" w:eastAsia="Calibri"/>
        </w:rPr>
        <w:t>Supported prefix: The current facts distinguish route blockage from stock deletion and do not justify physical entry.</w:t>
      </w:r>
    </w:p>
    <w:p>
      <w:pPr>
        <w:pStyle w:val="ListBullet"/>
      </w:pPr>
      <w:r>
        <w:rPr>
          <w:rFonts w:ascii="Calibri" w:hAnsi="Calibri" w:eastAsia="Calibri"/>
        </w:rPr>
        <w:t>Needed material: inspection record; engineering criteria; authority record</w:t>
      </w:r>
    </w:p>
    <w:p>
      <w:pPr>
        <w:pStyle w:val="ListBullet"/>
      </w:pPr>
      <w:r>
        <w:rPr>
          <w:rFonts w:ascii="Calibri" w:hAnsi="Calibri" w:eastAsia="Calibri"/>
        </w:rPr>
        <w:t>Next action after reentry: reassess extraction-status and next-action</w:t>
      </w:r>
    </w:p>
    <w:tbl>
      <w:tblPr>
        <w:tblW w:type="dxa" w:w="9360"/>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trHeight w:hRule="atLeast"/>
          <w:cantSplit w:val="true"/>
          <w:tblHeader w:val="true"/>
        </w:trPr>
        <w:tc>
          <w:tcPr>
            <w:tcW w:type="dxa" w:w="9360"/>
            <w:tcMar>
              <w:top w:w="80" w:type="dxa"/>
              <w:start w:w="120" w:type="dxa"/>
              <w:bottom w:w="80" w:type="dxa"/>
              <w:end w:w="120" w:type="dxa"/>
            </w:tcMar>
            <w:shd w:fill="F4F6F9" w:val="clear"/>
          </w:tcPr>
          <w:p>
            <w:pPr>
              <w:spacing w:before="20" w:after="20" w:line="276" w:lineRule="auto"/>
            </w:pPr>
            <w:r>
              <w:rPr>
                <w:rFonts w:ascii="Calibri" w:hAnsi="Calibri" w:eastAsia="Calibri"/>
                <w:b/>
                <w:color w:val="2E74B5"/>
                <w:sz w:val="17"/>
              </w:rPr>
              <w:t xml:space="preserve">OUTCOME BOUNDARY  </w:t>
            </w:r>
            <w:r>
              <w:rPr>
                <w:rFonts w:ascii="Calibri" w:hAnsi="Calibri" w:eastAsia="Calibri"/>
                <w:color w:val="0B2545"/>
                <w:sz w:val="20"/>
              </w:rPr>
              <w:t>No world action, observation, effect, or durable successor change is established. Recommendation is supported only as an illustrative planning recommendation; choice through durability remain OPEN.</w:t>
            </w:r>
          </w:p>
        </w:tc>
      </w:tr>
    </w:tbl>
    <w:p>
      <w:pPr>
        <w:spacing w:after="0"/>
      </w:pPr>
    </w:p>
    <w:p>
      <w:pPr>
        <w:pStyle w:val="Heading1"/>
      </w:pPr>
      <w:r>
        <w:t>15  Evidence, qualification, and the word-field decision</w:t>
      </w:r>
    </w:p>
    <w:p>
      <w:pPr>
        <w:pStyle w:val="Kicker"/>
        <w:keepNext/>
      </w:pPr>
      <w:r>
        <w:rPr>
          <w:rFonts w:ascii="Calibri" w:hAnsi="Calibri" w:eastAsia="Calibri"/>
          <w:color w:val="667085"/>
        </w:rPr>
        <w:t>The system is internally executable and externally unproven.</w:t>
      </w:r>
    </w:p>
    <w:tbl>
      <w:tblPr>
        <w:tblW w:type="dxa" w:w="9360"/>
        <w:tblLayout w:type="fixed"/>
        <w:tblLook w:firstColumn="1" w:firstRow="1" w:lastColumn="0" w:lastRow="0" w:noHBand="0" w:noVBand="1" w:val="04A0"/>
        <w:tblInd w:w="120" w:type="dxa"/>
        <w:tblBorders>
          <w:top w:val="single" w:sz="0" w:space="0" w:color="E8EEF5"/>
          <w:left w:val="single" w:sz="0" w:space="0" w:color="E8EEF5"/>
          <w:bottom w:val="single" w:sz="0" w:space="0" w:color="E8EEF5"/>
          <w:right w:val="single" w:sz="0" w:space="0" w:color="E8EEF5"/>
          <w:insideH w:val="single" w:sz="0" w:space="0" w:color="E8EEF5"/>
          <w:insideV w:val="single" w:sz="0" w:space="0" w:color="E8EEF5"/>
        </w:tblBorders>
      </w:tblPr>
      <w:tblGrid>
        <w:gridCol w:w="9360"/>
      </w:tblGrid>
      <w:tr>
        <w:trPr>
          <w:trHeight w:hRule="atLeast"/>
          <w:cantSplit w:val="true"/>
          <w:tblHeader w:val="true"/>
        </w:trPr>
        <w:tc>
          <w:tcPr>
            <w:tcW w:type="dxa" w:w="9360"/>
            <w:tcMar>
              <w:top w:w="80" w:type="dxa"/>
              <w:start w:w="120" w:type="dxa"/>
              <w:bottom w:w="80" w:type="dxa"/>
              <w:end w:w="120" w:type="dxa"/>
            </w:tcMar>
            <w:shd w:fill="E8EEF5" w:val="clear"/>
          </w:tcPr>
          <w:p>
            <w:pPr>
              <w:spacing w:before="20" w:after="20" w:line="276" w:lineRule="auto"/>
            </w:pPr>
            <w:r>
              <w:rPr>
                <w:rFonts w:ascii="Calibri" w:hAnsi="Calibri" w:eastAsia="Calibri"/>
                <w:b/>
                <w:color w:val="2E74B5"/>
                <w:sz w:val="17"/>
              </w:rPr>
              <w:t xml:space="preserve">CURRENT DISPOSITION  </w:t>
            </w:r>
            <w:r>
              <w:rPr>
                <w:rFonts w:ascii="Calibri" w:hAnsi="Calibri" w:eastAsia="Calibri"/>
                <w:color w:val="0B2545"/>
                <w:sz w:val="20"/>
              </w:rPr>
              <w:t>Architecture+ 0.1 is an executable, falsifiable research baseline. Internal conformance is tested; external comparative value, empirical domain validity, and long-horizon world effect remain OPEN.</w:t>
            </w:r>
          </w:p>
        </w:tc>
      </w:tr>
    </w:tbl>
    <w:p>
      <w:pPr>
        <w:spacing w:after="0"/>
      </w:pP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250"/>
        <w:gridCol w:w="4600"/>
        <w:gridCol w:w="3510"/>
      </w:tblGrid>
      <w:tr>
        <w:trPr>
          <w:trHeight w:hRule="atLeast"/>
          <w:cantSplit w:val="true"/>
          <w:tblHeader w:val="true"/>
        </w:trPr>
        <w:tc>
          <w:tcPr>
            <w:tcW w:type="dxa" w:w="125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Donor</w:t>
            </w:r>
          </w:p>
        </w:tc>
        <w:tc>
          <w:tcPr>
            <w:tcW w:type="dxa" w:w="4600"/>
            <w:tcMar>
              <w:top w:w="80" w:type="dxa"/>
              <w:start w:w="120" w:type="dxa"/>
              <w:bottom w:w="80" w:type="dxa"/>
              <w:end w:w="120" w:type="dxa"/>
            </w:tcMar>
            <w:shd w:fill="E8EEF5" w:val="clear"/>
            <w:vAlign w:val="center"/>
          </w:tcPr>
          <w:p>
            <w:pPr>
              <w:pStyle w:val="TableBody"/>
              <w:spacing w:before="0" w:after="0" w:line="252" w:lineRule="auto"/>
              <w:jc w:val="left"/>
            </w:pPr>
            <w:r>
              <w:rPr>
                <w:rFonts w:ascii="Calibri" w:hAnsi="Calibri" w:eastAsia="Calibri"/>
                <w:b/>
                <w:color w:val="0B2545"/>
                <w:sz w:val="16"/>
              </w:rPr>
              <w:t>Reported observation</w:t>
            </w:r>
          </w:p>
        </w:tc>
        <w:tc>
          <w:tcPr>
            <w:tcW w:type="dxa" w:w="3510"/>
            <w:tcMar>
              <w:top w:w="80" w:type="dxa"/>
              <w:start w:w="120" w:type="dxa"/>
              <w:bottom w:w="80" w:type="dxa"/>
              <w:end w:w="120" w:type="dxa"/>
            </w:tcMar>
            <w:shd w:fill="E8EEF5" w:val="clear"/>
            <w:vAlign w:val="center"/>
          </w:tcPr>
          <w:p>
            <w:pPr>
              <w:pStyle w:val="TableBody"/>
              <w:spacing w:before="0" w:after="0" w:line="252" w:lineRule="auto"/>
              <w:jc w:val="left"/>
            </w:pPr>
            <w:r>
              <w:rPr>
                <w:rFonts w:ascii="Calibri" w:hAnsi="Calibri" w:eastAsia="Calibri"/>
                <w:b/>
                <w:color w:val="0B2545"/>
                <w:sz w:val="16"/>
              </w:rPr>
              <w:t>Design consequence</w:t>
            </w:r>
          </w:p>
        </w:tc>
      </w:tr>
      <w:tr>
        <w:trPr>
          <w:cantSplit w:val="true"/>
        </w:trPr>
        <w:tc>
          <w:tcPr>
            <w:tcW w:type="dxa" w:w="1250"/>
            <w:vAlign w:val="center"/>
          </w:tcPr>
          <w:p>
            <w:pPr>
              <w:pStyle w:val="TableBody"/>
              <w:spacing w:before="0" w:after="0" w:line="252" w:lineRule="auto"/>
              <w:jc w:val="left"/>
            </w:pPr>
            <w:r>
              <w:rPr>
                <w:rFonts w:ascii="Calibri" w:hAnsi="Calibri" w:eastAsia="Calibri"/>
                <w:b w:val="0"/>
                <w:color w:val="111827"/>
                <w:sz w:val="15"/>
              </w:rPr>
              <w:t>B1-FAST</w:t>
            </w:r>
          </w:p>
        </w:tc>
        <w:tc>
          <w:tcPr>
            <w:tcW w:type="dxa" w:w="4600"/>
            <w:vAlign w:val="center"/>
          </w:tcPr>
          <w:p>
            <w:pPr>
              <w:pStyle w:val="TableBody"/>
              <w:spacing w:before="0" w:after="0" w:line="252" w:lineRule="auto"/>
              <w:jc w:val="left"/>
            </w:pPr>
            <w:r>
              <w:rPr>
                <w:rFonts w:ascii="Calibri" w:hAnsi="Calibri" w:eastAsia="Calibri"/>
                <w:b w:val="0"/>
                <w:color w:val="111827"/>
                <w:sz w:val="15"/>
              </w:rPr>
              <w:t>Fast dense raised packet retention from 25.5/29 to 27.5/29 and supported reader score from 23/29 to 23.5/29, while all-in words rose from 258 to 489.</w:t>
            </w:r>
          </w:p>
        </w:tc>
        <w:tc>
          <w:tcPr>
            <w:tcW w:type="dxa" w:w="3510"/>
            <w:vAlign w:val="center"/>
          </w:tcPr>
          <w:p>
            <w:pPr>
              <w:pStyle w:val="TableBody"/>
              <w:spacing w:before="0" w:after="0" w:line="252" w:lineRule="auto"/>
              <w:jc w:val="left"/>
            </w:pPr>
            <w:r>
              <w:rPr>
                <w:rFonts w:ascii="Calibri" w:hAnsi="Calibri" w:eastAsia="Calibri"/>
                <w:b w:val="0"/>
                <w:color w:val="111827"/>
                <w:sz w:val="15"/>
              </w:rPr>
              <w:t>Dense structure can help conditionally, but its constant cost is not justified as the default.</w:t>
            </w:r>
          </w:p>
        </w:tc>
      </w:tr>
      <w:tr>
        <w:trPr>
          <w:cantSplit w:val="true"/>
        </w:trPr>
        <w:tc>
          <w:tcPr>
            <w:tcW w:type="dxa" w:w="1250"/>
            <w:vAlign w:val="center"/>
          </w:tcPr>
          <w:p>
            <w:pPr>
              <w:pStyle w:val="TableBody"/>
              <w:spacing w:before="0" w:after="0" w:line="252" w:lineRule="auto"/>
              <w:jc w:val="left"/>
            </w:pPr>
            <w:r>
              <w:rPr>
                <w:rFonts w:ascii="Calibri" w:hAnsi="Calibri" w:eastAsia="Calibri"/>
                <w:b w:val="0"/>
                <w:color w:val="111827"/>
                <w:sz w:val="15"/>
              </w:rPr>
              <w:t>B1-ULTRA</w:t>
            </w:r>
          </w:p>
        </w:tc>
        <w:tc>
          <w:tcPr>
            <w:tcW w:type="dxa" w:w="4600"/>
            <w:vAlign w:val="center"/>
          </w:tcPr>
          <w:p>
            <w:pPr>
              <w:pStyle w:val="TableBody"/>
              <w:spacing w:before="0" w:after="0" w:line="252" w:lineRule="auto"/>
              <w:jc w:val="left"/>
            </w:pPr>
            <w:r>
              <w:rPr>
                <w:rFonts w:ascii="Calibri" w:hAnsi="Calibri" w:eastAsia="Calibri"/>
                <w:b w:val="0"/>
                <w:color w:val="111827"/>
                <w:sz w:val="15"/>
              </w:rPr>
              <w:t>Ultra plain reached 29/29 retention and 28.5/29 supported reader at 228 all-in words; dense reached 29/29 and 29/29 at 446 words.</w:t>
            </w:r>
          </w:p>
        </w:tc>
        <w:tc>
          <w:tcPr>
            <w:tcW w:type="dxa" w:w="3510"/>
            <w:vAlign w:val="center"/>
          </w:tcPr>
          <w:p>
            <w:pPr>
              <w:pStyle w:val="TableBody"/>
              <w:spacing w:before="0" w:after="0" w:line="252" w:lineRule="auto"/>
              <w:jc w:val="left"/>
            </w:pPr>
            <w:r>
              <w:rPr>
                <w:rFonts w:ascii="Calibri" w:hAnsi="Calibri" w:eastAsia="Calibri"/>
                <w:b w:val="0"/>
                <w:color w:val="111827"/>
                <w:sz w:val="15"/>
              </w:rPr>
              <w:t>A strong native baseline can match heavy scaffolding; preserve native formation and make structure adaptive.</w:t>
            </w:r>
          </w:p>
        </w:tc>
      </w:tr>
      <w:tr>
        <w:trPr>
          <w:cantSplit w:val="true"/>
        </w:trPr>
        <w:tc>
          <w:tcPr>
            <w:tcW w:type="dxa" w:w="1250"/>
            <w:vAlign w:val="center"/>
          </w:tcPr>
          <w:p>
            <w:pPr>
              <w:pStyle w:val="TableBody"/>
              <w:spacing w:before="0" w:after="0" w:line="252" w:lineRule="auto"/>
              <w:jc w:val="left"/>
            </w:pPr>
            <w:r>
              <w:rPr>
                <w:rFonts w:ascii="Calibri" w:hAnsi="Calibri" w:eastAsia="Calibri"/>
                <w:b w:val="0"/>
                <w:color w:val="111827"/>
                <w:sz w:val="15"/>
              </w:rPr>
              <w:t>B1-SPARSE</w:t>
            </w:r>
          </w:p>
        </w:tc>
        <w:tc>
          <w:tcPr>
            <w:tcW w:type="dxa" w:w="4600"/>
            <w:vAlign w:val="center"/>
          </w:tcPr>
          <w:p>
            <w:pPr>
              <w:pStyle w:val="TableBody"/>
              <w:spacing w:before="0" w:after="0" w:line="252" w:lineRule="auto"/>
              <w:jc w:val="left"/>
            </w:pPr>
            <w:r>
              <w:rPr>
                <w:rFonts w:ascii="Calibri" w:hAnsi="Calibri" w:eastAsia="Calibri"/>
                <w:b w:val="0"/>
                <w:color w:val="111827"/>
                <w:sz w:val="15"/>
              </w:rPr>
              <w:t>Ultra sparse retained 29/29 but produced the lowest Ultra supported reader score, 27.5/29.</w:t>
            </w:r>
          </w:p>
        </w:tc>
        <w:tc>
          <w:tcPr>
            <w:tcW w:type="dxa" w:w="3510"/>
            <w:vAlign w:val="center"/>
          </w:tcPr>
          <w:p>
            <w:pPr>
              <w:pStyle w:val="TableBody"/>
              <w:spacing w:before="0" w:after="0" w:line="252" w:lineRule="auto"/>
              <w:jc w:val="left"/>
            </w:pPr>
            <w:r>
              <w:rPr>
                <w:rFonts w:ascii="Calibri" w:hAnsi="Calibri" w:eastAsia="Calibri"/>
                <w:b w:val="0"/>
                <w:color w:val="111827"/>
                <w:sz w:val="15"/>
              </w:rPr>
              <w:t>Rules can preserve content while interfering with downstream use.</w:t>
            </w:r>
          </w:p>
        </w:tc>
      </w:tr>
      <w:tr>
        <w:trPr>
          <w:cantSplit w:val="true"/>
        </w:trPr>
        <w:tc>
          <w:tcPr>
            <w:tcW w:type="dxa" w:w="1250"/>
            <w:vAlign w:val="center"/>
          </w:tcPr>
          <w:p>
            <w:pPr>
              <w:pStyle w:val="TableBody"/>
              <w:spacing w:before="0" w:after="0" w:line="252" w:lineRule="auto"/>
              <w:jc w:val="left"/>
            </w:pPr>
            <w:r>
              <w:rPr>
                <w:rFonts w:ascii="Calibri" w:hAnsi="Calibri" w:eastAsia="Calibri"/>
                <w:b w:val="0"/>
                <w:color w:val="111827"/>
                <w:sz w:val="15"/>
              </w:rPr>
              <w:t>B2-FIELD</w:t>
            </w:r>
          </w:p>
        </w:tc>
        <w:tc>
          <w:tcPr>
            <w:tcW w:type="dxa" w:w="4600"/>
            <w:vAlign w:val="center"/>
          </w:tcPr>
          <w:p>
            <w:pPr>
              <w:pStyle w:val="TableBody"/>
              <w:spacing w:before="0" w:after="0" w:line="252" w:lineRule="auto"/>
              <w:jc w:val="left"/>
            </w:pPr>
            <w:r>
              <w:rPr>
                <w:rFonts w:ascii="Calibri" w:hAnsi="Calibri" w:eastAsia="Calibri"/>
                <w:b w:val="0"/>
                <w:color w:val="111827"/>
                <w:sz w:val="15"/>
              </w:rPr>
              <w:t>Flat and grouped semantic arms used the identical 61-word multiset; neither grouping nor the flat field robustly beat plain or placebo.</w:t>
            </w:r>
          </w:p>
        </w:tc>
        <w:tc>
          <w:tcPr>
            <w:tcW w:type="dxa" w:w="3510"/>
            <w:vAlign w:val="center"/>
          </w:tcPr>
          <w:p>
            <w:pPr>
              <w:pStyle w:val="TableBody"/>
              <w:spacing w:before="0" w:after="0" w:line="252" w:lineRule="auto"/>
              <w:jc w:val="left"/>
            </w:pPr>
            <w:r>
              <w:rPr>
                <w:rFonts w:ascii="Calibri" w:hAnsi="Calibri" w:eastAsia="Calibri"/>
                <w:b w:val="0"/>
                <w:color w:val="111827"/>
                <w:sz w:val="15"/>
              </w:rPr>
              <w:t>The word bank is a dormant probe reserve, not evidence or a default worldview.</w:t>
            </w:r>
          </w:p>
        </w:tc>
      </w:tr>
      <w:tr>
        <w:trPr>
          <w:cantSplit w:val="true"/>
        </w:trPr>
        <w:tc>
          <w:tcPr>
            <w:tcW w:type="dxa" w:w="1250"/>
            <w:vAlign w:val="center"/>
          </w:tcPr>
          <w:p>
            <w:pPr>
              <w:pStyle w:val="TableBody"/>
              <w:spacing w:before="0" w:after="0" w:line="252" w:lineRule="auto"/>
              <w:jc w:val="left"/>
            </w:pPr>
            <w:r>
              <w:rPr>
                <w:rFonts w:ascii="Calibri" w:hAnsi="Calibri" w:eastAsia="Calibri"/>
                <w:b w:val="0"/>
                <w:color w:val="111827"/>
                <w:sz w:val="15"/>
              </w:rPr>
              <w:t>B2-DENSE</w:t>
            </w:r>
          </w:p>
        </w:tc>
        <w:tc>
          <w:tcPr>
            <w:tcW w:type="dxa" w:w="4600"/>
            <w:vAlign w:val="center"/>
          </w:tcPr>
          <w:p>
            <w:pPr>
              <w:pStyle w:val="TableBody"/>
              <w:spacing w:before="0" w:after="0" w:line="252" w:lineRule="auto"/>
              <w:jc w:val="left"/>
            </w:pPr>
            <w:r>
              <w:rPr>
                <w:rFonts w:ascii="Calibri" w:hAnsi="Calibri" w:eastAsia="Calibri"/>
                <w:b w:val="0"/>
                <w:color w:val="111827"/>
                <w:sz w:val="15"/>
              </w:rPr>
              <w:t>The second dense arm named nearly every dossier trap and functioned as a targeted checklist.</w:t>
            </w:r>
          </w:p>
        </w:tc>
        <w:tc>
          <w:tcPr>
            <w:tcW w:type="dxa" w:w="3510"/>
            <w:vAlign w:val="center"/>
          </w:tcPr>
          <w:p>
            <w:pPr>
              <w:pStyle w:val="TableBody"/>
              <w:spacing w:before="0" w:after="0" w:line="252" w:lineRule="auto"/>
              <w:jc w:val="left"/>
            </w:pPr>
            <w:r>
              <w:rPr>
                <w:rFonts w:ascii="Calibri" w:hAnsi="Calibri" w:eastAsia="Calibri"/>
                <w:b w:val="0"/>
                <w:color w:val="111827"/>
                <w:sz w:val="15"/>
              </w:rPr>
              <w:t>Its performance cannot support a general dense-topology claim.</w:t>
            </w:r>
          </w:p>
        </w:tc>
      </w:tr>
      <w:tr>
        <w:trPr>
          <w:cantSplit w:val="true"/>
        </w:trPr>
        <w:tc>
          <w:tcPr>
            <w:tcW w:type="dxa" w:w="1250"/>
            <w:vAlign w:val="center"/>
          </w:tcPr>
          <w:p>
            <w:pPr>
              <w:pStyle w:val="TableBody"/>
              <w:spacing w:before="0" w:after="0" w:line="252" w:lineRule="auto"/>
              <w:jc w:val="left"/>
            </w:pPr>
            <w:r>
              <w:rPr>
                <w:rFonts w:ascii="Calibri" w:hAnsi="Calibri" w:eastAsia="Calibri"/>
                <w:b w:val="0"/>
                <w:color w:val="111827"/>
                <w:sz w:val="15"/>
              </w:rPr>
              <w:t>VOLUME-CLASS</w:t>
            </w:r>
          </w:p>
        </w:tc>
        <w:tc>
          <w:tcPr>
            <w:tcW w:type="dxa" w:w="4600"/>
            <w:vAlign w:val="center"/>
          </w:tcPr>
          <w:p>
            <w:pPr>
              <w:pStyle w:val="TableBody"/>
              <w:spacing w:before="0" w:after="0" w:line="252" w:lineRule="auto"/>
              <w:jc w:val="left"/>
            </w:pPr>
            <w:r>
              <w:rPr>
                <w:rFonts w:ascii="Calibri" w:hAnsi="Calibri" w:eastAsia="Calibri"/>
                <w:b w:val="0"/>
                <w:color w:val="111827"/>
                <w:sz w:val="15"/>
              </w:rPr>
              <w:t>Earlier builds generated 23,981,308 prebuild assertions, about 18.2 million combination metamorphics, and about 4.31 million tournament assertions from shared lineage.</w:t>
            </w:r>
          </w:p>
        </w:tc>
        <w:tc>
          <w:tcPr>
            <w:tcW w:type="dxa" w:w="3510"/>
            <w:vAlign w:val="center"/>
          </w:tcPr>
          <w:p>
            <w:pPr>
              <w:pStyle w:val="TableBody"/>
              <w:spacing w:before="0" w:after="0" w:line="252" w:lineRule="auto"/>
              <w:jc w:val="left"/>
            </w:pPr>
            <w:r>
              <w:rPr>
                <w:rFonts w:ascii="Calibri" w:hAnsi="Calibri" w:eastAsia="Calibri"/>
                <w:b w:val="0"/>
                <w:color w:val="111827"/>
                <w:sz w:val="15"/>
              </w:rPr>
              <w:t>Generated row volume does not create independent evidence classes.</w:t>
            </w:r>
          </w:p>
        </w:tc>
      </w:tr>
    </w:tbl>
    <w:p>
      <w:pPr>
        <w:spacing w:after="0"/>
      </w:pPr>
    </w:p>
    <w:tbl>
      <w:tblPr>
        <w:tblW w:type="dxa" w:w="9360"/>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trHeight w:hRule="atLeast"/>
          <w:cantSplit w:val="true"/>
          <w:tblHeader w:val="true"/>
        </w:trPr>
        <w:tc>
          <w:tcPr>
            <w:tcW w:type="dxa" w:w="9360"/>
            <w:tcMar>
              <w:top w:w="80" w:type="dxa"/>
              <w:start w:w="120" w:type="dxa"/>
              <w:bottom w:w="80" w:type="dxa"/>
              <w:end w:w="120" w:type="dxa"/>
            </w:tcMar>
            <w:shd w:fill="F4F6F9" w:val="clear"/>
          </w:tcPr>
          <w:p>
            <w:pPr>
              <w:spacing w:before="20" w:after="20" w:line="276" w:lineRule="auto"/>
            </w:pPr>
            <w:r>
              <w:rPr>
                <w:rFonts w:ascii="Calibri" w:hAnsi="Calibri" w:eastAsia="Calibri"/>
                <w:b/>
                <w:color w:val="2E74B5"/>
                <w:sz w:val="17"/>
              </w:rPr>
              <w:t xml:space="preserve">STANDING CEILING  </w:t>
            </w:r>
            <w:r>
              <w:rPr>
                <w:rFonts w:ascii="Calibri" w:hAnsi="Calibri" w:eastAsia="Calibri"/>
                <w:color w:val="0B2545"/>
                <w:sz w:val="20"/>
              </w:rPr>
              <w:t>These observations influenced the 0.1 design but are not package-verified evidence. The compact package does not ship every raw row, model invocation, scorer decision, source fingerprint, or historical build needed for independent reproduction. Treat every number as reported lineage until its full evidence class is supplied and rerun.</w:t>
            </w:r>
          </w:p>
        </w:tc>
      </w:tr>
    </w:tbl>
    <w:p>
      <w:pPr>
        <w:spacing w:after="0"/>
      </w:pPr>
    </w:p>
    <w:p>
      <w:pPr>
        <w:pStyle w:val="Definition"/>
      </w:pPr>
      <w:r>
        <w:rPr>
          <w:rFonts w:ascii="Calibri" w:hAnsi="Calibri" w:eastAsia="Calibri"/>
        </w:rPr>
        <w:t>The donor identifiers, counts, and scores below are reported lineage metadata. They are design inputs, not reproduced package results.</w:t>
      </w:r>
    </w:p>
    <w:p>
      <w:pPr>
        <w:pStyle w:val="Definition"/>
      </w:pPr>
      <w:r>
        <w:rPr>
          <w:rFonts w:ascii="Calibri" w:hAnsi="Calibri" w:eastAsia="Calibri"/>
        </w:rPr>
        <w:t>Reentry: Ship frozen inputs, outputs, raw score decisions, exact model and invocation metadata, code, comparator and oracle lineage, and source fingerprints; then rerun under a preregistered protocol and admit only the reproduced result.</w:t>
      </w:r>
    </w:p>
    <w:p>
      <w:pPr>
        <w:pStyle w:val="Heading2"/>
      </w:pPr>
      <w:r>
        <w:rPr>
          <w:rFonts w:ascii="Calibri" w:hAnsi="Calibri" w:eastAsia="Calibri"/>
        </w:rPr>
        <w:t>Why the 762-term field is package-only</w:t>
      </w:r>
    </w:p>
    <w:p>
      <w:pPr>
        <w:pStyle w:val="ListBullet"/>
      </w:pPr>
      <w:r>
        <w:rPr>
          <w:rFonts w:ascii="Calibri" w:hAnsi="Calibri" w:eastAsia="Calibri"/>
        </w:rPr>
        <w:t>Flat and grouped arms used the same 61-word multiset; neither robustly beat plain or placebo.</w:t>
      </w:r>
    </w:p>
    <w:p>
      <w:pPr>
        <w:pStyle w:val="ListBullet"/>
      </w:pPr>
      <w:r>
        <w:rPr>
          <w:rFonts w:ascii="Calibri" w:hAnsi="Calibri" w:eastAsia="Calibri"/>
        </w:rPr>
        <w:t>Dense structure helped a faster model conditionally but roughly doubled words; a strong plain baseline nearly matched it at much lower cost.</w:t>
      </w:r>
    </w:p>
    <w:p>
      <w:pPr>
        <w:pStyle w:val="ListBullet"/>
      </w:pPr>
      <w:r>
        <w:rPr>
          <w:rFonts w:ascii="Calibri" w:hAnsi="Calibri" w:eastAsia="Calibri"/>
        </w:rPr>
        <w:t>Sparse rules could preserve facts while reducing reader usefulness.</w:t>
      </w:r>
    </w:p>
    <w:p>
      <w:pPr>
        <w:pStyle w:val="ListBullet"/>
      </w:pPr>
      <w:r>
        <w:rPr>
          <w:rFonts w:ascii="Calibri" w:hAnsi="Calibri" w:eastAsia="Calibri"/>
        </w:rPr>
        <w:t>Therefore the field is a nonnormative searchable probe reserve. Activate a bounded neighborhood only at a named Hinge, log the predicted changed field and cost, and retain it only after observed delta.</w:t>
      </w:r>
    </w:p>
    <w:tbl>
      <w:tblPr>
        <w:tblW w:type="dxa" w:w="9360"/>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trHeight w:hRule="atLeast"/>
          <w:cantSplit w:val="true"/>
          <w:tblHeader w:val="true"/>
        </w:trPr>
        <w:tc>
          <w:tcPr>
            <w:tcW w:type="dxa" w:w="9360"/>
            <w:tcMar>
              <w:top w:w="80" w:type="dxa"/>
              <w:start w:w="120" w:type="dxa"/>
              <w:bottom w:w="80" w:type="dxa"/>
              <w:end w:w="120" w:type="dxa"/>
            </w:tcMar>
            <w:shd w:fill="F4F6F9" w:val="clear"/>
          </w:tcPr>
          <w:p>
            <w:pPr>
              <w:spacing w:before="20" w:after="20" w:line="276" w:lineRule="auto"/>
            </w:pPr>
            <w:r>
              <w:rPr>
                <w:rFonts w:ascii="Calibri" w:hAnsi="Calibri" w:eastAsia="Calibri"/>
                <w:b/>
                <w:color w:val="2E74B5"/>
                <w:sz w:val="17"/>
              </w:rPr>
              <w:t xml:space="preserve">COUNTING RULE  </w:t>
            </w:r>
            <w:r>
              <w:rPr>
                <w:rFonts w:ascii="Calibri" w:hAnsi="Calibri" w:eastAsia="Calibri"/>
                <w:color w:val="0B2545"/>
                <w:sz w:val="20"/>
              </w:rPr>
              <w:t>Duplicating, permuting, rendering, or regenerating rows does not change the evidence class. Test count is a diagnostic coverage measure, not a confidence multiplier.</w:t>
            </w:r>
          </w:p>
        </w:tc>
      </w:tr>
    </w:tbl>
    <w:p>
      <w:pPr>
        <w:spacing w:after="0"/>
      </w:pPr>
    </w:p>
    <w:p>
      <w:pPr>
        <w:pStyle w:val="Heading2"/>
      </w:pPr>
      <w:r>
        <w:rPr>
          <w:rFonts w:ascii="Calibri" w:hAnsi="Calibri" w:eastAsia="Calibri"/>
        </w:rPr>
        <w:t>Executed internal checks</w:t>
      </w:r>
    </w:p>
    <w:p>
      <w:pPr>
        <w:pStyle w:val="ListBullet"/>
      </w:pPr>
      <w:r>
        <w:rPr>
          <w:rFonts w:ascii="Calibri" w:hAnsi="Calibri" w:eastAsia="Calibri"/>
        </w:rPr>
        <w:t>canonical integrity and hash-chain replay</w:t>
      </w:r>
    </w:p>
    <w:p>
      <w:pPr>
        <w:pStyle w:val="ListBullet"/>
      </w:pPr>
      <w:r>
        <w:rPr>
          <w:rFonts w:ascii="Calibri" w:hAnsi="Calibri" w:eastAsia="Calibri"/>
        </w:rPr>
        <w:t>Formation Firewall contamination</w:t>
      </w:r>
    </w:p>
    <w:p>
      <w:pPr>
        <w:pStyle w:val="ListBullet"/>
      </w:pPr>
      <w:r>
        <w:rPr>
          <w:rFonts w:ascii="Calibri" w:hAnsi="Calibri" w:eastAsia="Calibri"/>
        </w:rPr>
        <w:t>runtime record contracts and schema carrier syntax</w:t>
      </w:r>
    </w:p>
    <w:p>
      <w:pPr>
        <w:pStyle w:val="ListBullet"/>
      </w:pPr>
      <w:r>
        <w:rPr>
          <w:rFonts w:ascii="Calibri" w:hAnsi="Calibri" w:eastAsia="Calibri"/>
        </w:rPr>
        <w:t>Hinge material-difference and Return-impact validation</w:t>
      </w:r>
    </w:p>
    <w:p>
      <w:pPr>
        <w:pStyle w:val="ListBullet"/>
      </w:pPr>
      <w:r>
        <w:rPr>
          <w:rFonts w:ascii="Calibri" w:hAnsi="Calibri" w:eastAsia="Calibri"/>
        </w:rPr>
        <w:t>exact OPEN behavior</w:t>
      </w:r>
    </w:p>
    <w:p>
      <w:pPr>
        <w:pStyle w:val="ListBullet"/>
      </w:pPr>
      <w:r>
        <w:rPr>
          <w:rFonts w:ascii="Calibri" w:hAnsi="Calibri" w:eastAsia="Calibri"/>
        </w:rPr>
        <w:t>reverse trace</w:t>
      </w:r>
    </w:p>
    <w:p>
      <w:pPr>
        <w:pStyle w:val="ListBullet"/>
      </w:pPr>
      <w:r>
        <w:rPr>
          <w:rFonts w:ascii="Calibri" w:hAnsi="Calibri" w:eastAsia="Calibri"/>
        </w:rPr>
        <w:t>selective reopening</w:t>
      </w:r>
    </w:p>
    <w:p>
      <w:pPr>
        <w:pStyle w:val="ListBullet"/>
      </w:pPr>
      <w:r>
        <w:rPr>
          <w:rFonts w:ascii="Calibri" w:hAnsi="Calibri" w:eastAsia="Calibri"/>
        </w:rPr>
        <w:t>Outcome Receipt stage separation and evidence references</w:t>
      </w:r>
    </w:p>
    <w:p>
      <w:pPr>
        <w:pStyle w:val="ListBullet"/>
      </w:pPr>
      <w:r>
        <w:rPr>
          <w:rFonts w:ascii="Calibri" w:hAnsi="Calibri" w:eastAsia="Calibri"/>
        </w:rPr>
        <w:t>Passage identity comparison</w:t>
      </w:r>
    </w:p>
    <w:p>
      <w:pPr>
        <w:pStyle w:val="ListBullet"/>
      </w:pPr>
      <w:r>
        <w:rPr>
          <w:rFonts w:ascii="Calibri" w:hAnsi="Calibri" w:eastAsia="Calibri"/>
        </w:rPr>
        <w:t>finite Resource Account fields, role vocabulary, and gate completeness</w:t>
      </w:r>
    </w:p>
    <w:p>
      <w:pPr>
        <w:pStyle w:val="ListBullet"/>
      </w:pPr>
      <w:r>
        <w:rPr>
          <w:rFonts w:ascii="Calibri" w:hAnsi="Calibri" w:eastAsia="Calibri"/>
        </w:rPr>
        <w:t>move and field caps plus prompt-character budget</w:t>
      </w:r>
    </w:p>
    <w:p>
      <w:pPr>
        <w:pStyle w:val="Heading2"/>
      </w:pPr>
      <w:r>
        <w:rPr>
          <w:rFonts w:ascii="Calibri" w:hAnsi="Calibri" w:eastAsia="Calibri"/>
        </w:rPr>
        <w:t>Planned checks</w:t>
      </w:r>
    </w:p>
    <w:p>
      <w:pPr>
        <w:pStyle w:val="ListBullet"/>
      </w:pPr>
      <w:r>
        <w:rPr>
          <w:rFonts w:ascii="Calibri" w:hAnsi="Calibri" w:eastAsia="Calibri"/>
        </w:rPr>
        <w:t>full Hinge inversion and semantic ablation across generated counterworlds</w:t>
      </w:r>
    </w:p>
    <w:p>
      <w:pPr>
        <w:pStyle w:val="ListBullet"/>
      </w:pPr>
      <w:r>
        <w:rPr>
          <w:rFonts w:ascii="Calibri" w:hAnsi="Calibri" w:eastAsia="Calibri"/>
        </w:rPr>
        <w:t>all nearest-negative anti-collapse golden fixtures</w:t>
      </w:r>
    </w:p>
    <w:p>
      <w:pPr>
        <w:pStyle w:val="ListBullet"/>
      </w:pPr>
      <w:r>
        <w:rPr>
          <w:rFonts w:ascii="Calibri" w:hAnsi="Calibri" w:eastAsia="Calibri"/>
        </w:rPr>
        <w:t>Outcome Receipt noninheritance under external observations</w:t>
      </w:r>
    </w:p>
    <w:p>
      <w:pPr>
        <w:pStyle w:val="ListBullet"/>
      </w:pPr>
      <w:r>
        <w:rPr>
          <w:rFonts w:ascii="Calibri" w:hAnsi="Calibri" w:eastAsia="Calibri"/>
        </w:rPr>
        <w:t>causal Resource admission and domain gate order</w:t>
      </w:r>
    </w:p>
    <w:p>
      <w:pPr>
        <w:pStyle w:val="ListBullet"/>
      </w:pPr>
      <w:r>
        <w:rPr>
          <w:rFonts w:ascii="Calibri" w:hAnsi="Calibri" w:eastAsia="Calibri"/>
        </w:rPr>
        <w:t>model-token, latency, and external-cost accounting</w:t>
      </w:r>
    </w:p>
    <w:p>
      <w:pPr>
        <w:pStyle w:val="Heading2"/>
      </w:pPr>
      <w:r>
        <w:rPr>
          <w:rFonts w:ascii="Calibri" w:hAnsi="Calibri" w:eastAsia="Calibri"/>
        </w:rPr>
        <w:t>External qualification protocol</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700"/>
        <w:gridCol w:w="7660"/>
      </w:tblGrid>
      <w:tr>
        <w:trPr>
          <w:trHeight w:hRule="atLeast"/>
          <w:cantSplit w:val="true"/>
          <w:tblHeader w:val="true"/>
        </w:trPr>
        <w:tc>
          <w:tcPr>
            <w:tcW w:type="dxa" w:w="1700"/>
            <w:tcMar>
              <w:top w:w="80" w:type="dxa"/>
              <w:start w:w="120" w:type="dxa"/>
              <w:bottom w:w="80" w:type="dxa"/>
              <w:end w:w="120" w:type="dxa"/>
            </w:tcMar>
            <w:shd w:fill="E8EEF5" w:val="clear"/>
            <w:vAlign w:val="center"/>
          </w:tcPr>
          <w:p>
            <w:pPr>
              <w:pStyle w:val="TableBody"/>
              <w:spacing w:before="0" w:after="0" w:line="252" w:lineRule="auto"/>
              <w:jc w:val="left"/>
            </w:pPr>
            <w:r>
              <w:rPr>
                <w:rFonts w:ascii="Calibri" w:hAnsi="Calibri" w:eastAsia="Calibri"/>
                <w:b/>
                <w:color w:val="0B2545"/>
                <w:sz w:val="16"/>
              </w:rPr>
              <w:t>Protocol field</w:t>
            </w:r>
          </w:p>
        </w:tc>
        <w:tc>
          <w:tcPr>
            <w:tcW w:type="dxa" w:w="7660"/>
            <w:tcMar>
              <w:top w:w="80" w:type="dxa"/>
              <w:start w:w="120" w:type="dxa"/>
              <w:bottom w:w="80" w:type="dxa"/>
              <w:end w:w="120" w:type="dxa"/>
            </w:tcMar>
            <w:shd w:fill="E8EEF5" w:val="clear"/>
            <w:vAlign w:val="center"/>
          </w:tcPr>
          <w:p>
            <w:pPr>
              <w:pStyle w:val="TableBody"/>
              <w:spacing w:before="0" w:after="0" w:line="252" w:lineRule="auto"/>
              <w:jc w:val="left"/>
            </w:pPr>
            <w:r>
              <w:rPr>
                <w:rFonts w:ascii="Calibri" w:hAnsi="Calibri" w:eastAsia="Calibri"/>
                <w:b/>
                <w:color w:val="0B2545"/>
                <w:sz w:val="16"/>
              </w:rPr>
              <w:t>Declared design</w:t>
            </w:r>
          </w:p>
        </w:tc>
      </w:tr>
      <w:tr>
        <w:trPr>
          <w:cantSplit w:val="true"/>
        </w:trPr>
        <w:tc>
          <w:tcPr>
            <w:tcW w:type="dxa" w:w="1700"/>
            <w:vAlign w:val="center"/>
          </w:tcPr>
          <w:p>
            <w:pPr>
              <w:pStyle w:val="TableBody"/>
              <w:spacing w:before="0" w:after="0" w:line="252" w:lineRule="auto"/>
              <w:jc w:val="left"/>
            </w:pPr>
            <w:r>
              <w:rPr>
                <w:rFonts w:ascii="Calibri" w:hAnsi="Calibri" w:eastAsia="Calibri"/>
                <w:b w:val="0"/>
                <w:color w:val="111827"/>
                <w:sz w:val="16"/>
              </w:rPr>
              <w:t>Arms</w:t>
            </w:r>
          </w:p>
        </w:tc>
        <w:tc>
          <w:tcPr>
            <w:tcW w:type="dxa" w:w="7660"/>
            <w:vAlign w:val="center"/>
          </w:tcPr>
          <w:p>
            <w:pPr>
              <w:pStyle w:val="TableBody"/>
              <w:spacing w:before="0" w:after="0" w:line="252" w:lineRule="auto"/>
              <w:jc w:val="left"/>
            </w:pPr>
            <w:r>
              <w:rPr>
                <w:rFonts w:ascii="Calibri" w:hAnsi="Calibri" w:eastAsia="Calibri"/>
                <w:b w:val="0"/>
                <w:color w:val="111827"/>
                <w:sz w:val="16"/>
              </w:rPr>
              <w:t>plain, placebo, shuffled_field, wrong_field, flat_field, adaptive_architecture_plus, strongest_dense_donor</w:t>
            </w:r>
          </w:p>
        </w:tc>
      </w:tr>
      <w:tr>
        <w:trPr>
          <w:cantSplit w:val="true"/>
        </w:trPr>
        <w:tc>
          <w:tcPr>
            <w:tcW w:type="dxa" w:w="1700"/>
            <w:vAlign w:val="center"/>
          </w:tcPr>
          <w:p>
            <w:pPr>
              <w:pStyle w:val="TableBody"/>
              <w:spacing w:before="0" w:after="0" w:line="252" w:lineRule="auto"/>
              <w:jc w:val="left"/>
            </w:pPr>
            <w:r>
              <w:rPr>
                <w:rFonts w:ascii="Calibri" w:hAnsi="Calibri" w:eastAsia="Calibri"/>
                <w:b w:val="0"/>
                <w:color w:val="111827"/>
                <w:sz w:val="16"/>
              </w:rPr>
              <w:t>Matched</w:t>
            </w:r>
          </w:p>
        </w:tc>
        <w:tc>
          <w:tcPr>
            <w:tcW w:type="dxa" w:w="7660"/>
            <w:vAlign w:val="center"/>
          </w:tcPr>
          <w:p>
            <w:pPr>
              <w:pStyle w:val="TableBody"/>
              <w:spacing w:before="0" w:after="0" w:line="252" w:lineRule="auto"/>
              <w:jc w:val="left"/>
            </w:pPr>
            <w:r>
              <w:rPr>
                <w:rFonts w:ascii="Calibri" w:hAnsi="Calibri" w:eastAsia="Calibri"/>
                <w:b w:val="0"/>
                <w:color w:val="111827"/>
                <w:sz w:val="16"/>
              </w:rPr>
              <w:t>model, source, tools, total tokens, wall-time budget, question access, reader protocol</w:t>
            </w:r>
          </w:p>
        </w:tc>
      </w:tr>
      <w:tr>
        <w:trPr>
          <w:cantSplit w:val="true"/>
        </w:trPr>
        <w:tc>
          <w:tcPr>
            <w:tcW w:type="dxa" w:w="1700"/>
            <w:vAlign w:val="center"/>
          </w:tcPr>
          <w:p>
            <w:pPr>
              <w:pStyle w:val="TableBody"/>
              <w:spacing w:before="0" w:after="0" w:line="252" w:lineRule="auto"/>
              <w:jc w:val="left"/>
            </w:pPr>
            <w:r>
              <w:rPr>
                <w:rFonts w:ascii="Calibri" w:hAnsi="Calibri" w:eastAsia="Calibri"/>
                <w:b w:val="0"/>
                <w:color w:val="111827"/>
                <w:sz w:val="16"/>
              </w:rPr>
              <w:t>Measures</w:t>
            </w:r>
          </w:p>
        </w:tc>
        <w:tc>
          <w:tcPr>
            <w:tcW w:type="dxa" w:w="7660"/>
            <w:vAlign w:val="center"/>
          </w:tcPr>
          <w:p>
            <w:pPr>
              <w:pStyle w:val="TableBody"/>
              <w:spacing w:before="0" w:after="0" w:line="252" w:lineRule="auto"/>
              <w:jc w:val="left"/>
            </w:pPr>
            <w:r>
              <w:rPr>
                <w:rFonts w:ascii="Calibri" w:hAnsi="Calibri" w:eastAsia="Calibri"/>
                <w:b w:val="0"/>
                <w:color w:val="111827"/>
                <w:sz w:val="16"/>
              </w:rPr>
              <w:t>supported Return accuracy, critical false completion, OPEN calibration, practical completion, reverse-trace validity, selective-reopen precision, robustness under counterworld mutation, tokens, calls, latency, and interference</w:t>
            </w:r>
          </w:p>
        </w:tc>
      </w:tr>
      <w:tr>
        <w:trPr>
          <w:cantSplit w:val="true"/>
        </w:trPr>
        <w:tc>
          <w:tcPr>
            <w:tcW w:type="dxa" w:w="1700"/>
            <w:vAlign w:val="center"/>
          </w:tcPr>
          <w:p>
            <w:pPr>
              <w:pStyle w:val="TableBody"/>
              <w:spacing w:before="0" w:after="0" w:line="252" w:lineRule="auto"/>
              <w:jc w:val="left"/>
            </w:pPr>
            <w:r>
              <w:rPr>
                <w:rFonts w:ascii="Calibri" w:hAnsi="Calibri" w:eastAsia="Calibri"/>
                <w:b w:val="0"/>
                <w:color w:val="111827"/>
                <w:sz w:val="16"/>
              </w:rPr>
              <w:t>Reporting</w:t>
            </w:r>
          </w:p>
        </w:tc>
        <w:tc>
          <w:tcPr>
            <w:tcW w:type="dxa" w:w="7660"/>
            <w:vAlign w:val="center"/>
          </w:tcPr>
          <w:p>
            <w:pPr>
              <w:pStyle w:val="TableBody"/>
              <w:spacing w:before="0" w:after="0" w:line="252" w:lineRule="auto"/>
              <w:jc w:val="left"/>
            </w:pPr>
            <w:r>
              <w:rPr>
                <w:rFonts w:ascii="Calibri" w:hAnsi="Calibri" w:eastAsia="Calibri"/>
                <w:b w:val="0"/>
                <w:color w:val="111827"/>
                <w:sz w:val="16"/>
              </w:rPr>
              <w:t>Report a Pareto vector, role winners, macro-averages by failure family, and INCOMPARABLE where appropriate; do not force one vanity score.</w:t>
            </w:r>
          </w:p>
        </w:tc>
      </w:tr>
      <w:tr>
        <w:trPr>
          <w:cantSplit w:val="true"/>
        </w:trPr>
        <w:tc>
          <w:tcPr>
            <w:tcW w:type="dxa" w:w="1700"/>
            <w:vAlign w:val="center"/>
          </w:tcPr>
          <w:p>
            <w:pPr>
              <w:pStyle w:val="TableBody"/>
              <w:spacing w:before="0" w:after="0" w:line="252" w:lineRule="auto"/>
              <w:jc w:val="left"/>
            </w:pPr>
            <w:r>
              <w:rPr>
                <w:rFonts w:ascii="Calibri" w:hAnsi="Calibri" w:eastAsia="Calibri"/>
                <w:b w:val="0"/>
                <w:color w:val="111827"/>
                <w:sz w:val="16"/>
              </w:rPr>
              <w:t>Promotion</w:t>
            </w:r>
          </w:p>
        </w:tc>
        <w:tc>
          <w:tcPr>
            <w:tcW w:type="dxa" w:w="7660"/>
            <w:vAlign w:val="center"/>
          </w:tcPr>
          <w:p>
            <w:pPr>
              <w:pStyle w:val="TableBody"/>
              <w:spacing w:before="0" w:after="0" w:line="252" w:lineRule="auto"/>
              <w:jc w:val="left"/>
            </w:pPr>
            <w:r>
              <w:rPr>
                <w:rFonts w:ascii="Calibri" w:hAnsi="Calibri" w:eastAsia="Calibri"/>
                <w:b w:val="0"/>
                <w:color w:val="111827"/>
                <w:sz w:val="16"/>
              </w:rPr>
              <w:t>A mechanism earns reuse through prospective incremental lift in a declared scope or an independently necessary safety or conformance property. Self-score, satisfaction, consensus, or internal volume cannot promote it.</w:t>
            </w:r>
          </w:p>
        </w:tc>
      </w:tr>
    </w:tbl>
    <w:p>
      <w:pPr>
        <w:spacing w:after="0"/>
      </w:pPr>
    </w:p>
    <w:p>
      <w:pPr>
        <w:pStyle w:val="Heading1"/>
      </w:pPr>
      <w:r>
        <w:t>16  Anomaly register</w:t>
      </w:r>
    </w:p>
    <w:p>
      <w:pPr>
        <w:pStyle w:val="Kicker"/>
        <w:keepNext/>
      </w:pPr>
      <w:r>
        <w:rPr>
          <w:rFonts w:ascii="Calibri" w:hAnsi="Calibri" w:eastAsia="Calibri"/>
          <w:color w:val="667085"/>
        </w:rPr>
        <w:t>The weird and wild cases are retained as probes and countermodels, not promoted to universal law.</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850"/>
        <w:gridCol w:w="1950"/>
        <w:gridCol w:w="3280"/>
        <w:gridCol w:w="3280"/>
      </w:tblGrid>
      <w:tr>
        <w:trPr>
          <w:trHeight w:hRule="atLeast"/>
          <w:cantSplit w:val="true"/>
          <w:tblHeader w:val="true"/>
        </w:trPr>
        <w:tc>
          <w:tcPr>
            <w:tcW w:type="dxa" w:w="85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ID</w:t>
            </w:r>
          </w:p>
        </w:tc>
        <w:tc>
          <w:tcPr>
            <w:tcW w:type="dxa" w:w="195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Anomaly</w:t>
            </w:r>
          </w:p>
        </w:tc>
        <w:tc>
          <w:tcPr>
            <w:tcW w:type="dxa" w:w="3280"/>
            <w:tcMar>
              <w:top w:w="80" w:type="dxa"/>
              <w:start w:w="120" w:type="dxa"/>
              <w:bottom w:w="80" w:type="dxa"/>
              <w:end w:w="120" w:type="dxa"/>
            </w:tcMar>
            <w:shd w:fill="E8EEF5" w:val="clear"/>
            <w:vAlign w:val="center"/>
          </w:tcPr>
          <w:p>
            <w:pPr>
              <w:pStyle w:val="TableBody"/>
              <w:spacing w:before="0" w:after="0" w:line="252" w:lineRule="auto"/>
              <w:jc w:val="left"/>
            </w:pPr>
            <w:r>
              <w:rPr>
                <w:rFonts w:ascii="Calibri" w:hAnsi="Calibri" w:eastAsia="Calibri"/>
                <w:b/>
                <w:color w:val="0B2545"/>
                <w:sz w:val="16"/>
              </w:rPr>
              <w:t>What happened</w:t>
            </w:r>
          </w:p>
        </w:tc>
        <w:tc>
          <w:tcPr>
            <w:tcW w:type="dxa" w:w="3280"/>
            <w:tcMar>
              <w:top w:w="80" w:type="dxa"/>
              <w:start w:w="120" w:type="dxa"/>
              <w:bottom w:w="80" w:type="dxa"/>
              <w:end w:w="120" w:type="dxa"/>
            </w:tcMar>
            <w:shd w:fill="E8EEF5" w:val="clear"/>
            <w:vAlign w:val="center"/>
          </w:tcPr>
          <w:p>
            <w:pPr>
              <w:pStyle w:val="TableBody"/>
              <w:spacing w:before="0" w:after="0" w:line="252" w:lineRule="auto"/>
              <w:jc w:val="left"/>
            </w:pPr>
            <w:r>
              <w:rPr>
                <w:rFonts w:ascii="Calibri" w:hAnsi="Calibri" w:eastAsia="Calibri"/>
                <w:b/>
                <w:color w:val="0B2545"/>
                <w:sz w:val="16"/>
              </w:rPr>
              <w:t>What 0.1 does with it</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AN-001</w:t>
            </w:r>
          </w:p>
        </w:tc>
        <w:tc>
          <w:tcPr>
            <w:tcW w:type="dxa" w:w="1950"/>
            <w:vAlign w:val="center"/>
          </w:tcPr>
          <w:p>
            <w:pPr>
              <w:pStyle w:val="TableBody"/>
              <w:spacing w:before="0" w:after="0" w:line="252" w:lineRule="auto"/>
              <w:jc w:val="left"/>
            </w:pPr>
            <w:r>
              <w:rPr>
                <w:rFonts w:ascii="Calibri" w:hAnsi="Calibri" w:eastAsia="Calibri"/>
                <w:b w:val="0"/>
                <w:color w:val="111827"/>
                <w:sz w:val="14"/>
              </w:rPr>
              <w:t>Plain-structure inversion</w:t>
            </w:r>
          </w:p>
        </w:tc>
        <w:tc>
          <w:tcPr>
            <w:tcW w:type="dxa" w:w="3280"/>
            <w:vAlign w:val="center"/>
          </w:tcPr>
          <w:p>
            <w:pPr>
              <w:pStyle w:val="TableBody"/>
              <w:spacing w:before="0" w:after="0" w:line="252" w:lineRule="auto"/>
              <w:jc w:val="left"/>
            </w:pPr>
            <w:r>
              <w:rPr>
                <w:rFonts w:ascii="Calibri" w:hAnsi="Calibri" w:eastAsia="Calibri"/>
                <w:b w:val="0"/>
                <w:color w:val="111827"/>
                <w:sz w:val="14"/>
              </w:rPr>
              <w:t>Ultra plain used 228 all-in words for 29/29 retention and 28.5/29 supported reader; dense used 446 for 29/29 and 29/29.</w:t>
            </w:r>
          </w:p>
        </w:tc>
        <w:tc>
          <w:tcPr>
            <w:tcW w:type="dxa" w:w="3280"/>
            <w:vAlign w:val="center"/>
          </w:tcPr>
          <w:p>
            <w:pPr>
              <w:pStyle w:val="TableBody"/>
              <w:spacing w:before="0" w:after="0" w:line="252" w:lineRule="auto"/>
              <w:jc w:val="left"/>
            </w:pPr>
            <w:r>
              <w:rPr>
                <w:rFonts w:ascii="Calibri" w:hAnsi="Calibri" w:eastAsia="Calibri"/>
                <w:b w:val="0"/>
                <w:color w:val="111827"/>
                <w:sz w:val="14"/>
              </w:rPr>
              <w:t>Default to the smaller packet; activate dense procedure only when expected consequence exceeds cost.</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AN-002</w:t>
            </w:r>
          </w:p>
        </w:tc>
        <w:tc>
          <w:tcPr>
            <w:tcW w:type="dxa" w:w="1950"/>
            <w:vAlign w:val="center"/>
          </w:tcPr>
          <w:p>
            <w:pPr>
              <w:pStyle w:val="TableBody"/>
              <w:spacing w:before="0" w:after="0" w:line="252" w:lineRule="auto"/>
              <w:jc w:val="left"/>
            </w:pPr>
            <w:r>
              <w:rPr>
                <w:rFonts w:ascii="Calibri" w:hAnsi="Calibri" w:eastAsia="Calibri"/>
                <w:b w:val="0"/>
                <w:color w:val="111827"/>
                <w:sz w:val="14"/>
              </w:rPr>
              <w:t>Dense structure is model-conditional</w:t>
            </w:r>
          </w:p>
        </w:tc>
        <w:tc>
          <w:tcPr>
            <w:tcW w:type="dxa" w:w="3280"/>
            <w:vAlign w:val="center"/>
          </w:tcPr>
          <w:p>
            <w:pPr>
              <w:pStyle w:val="TableBody"/>
              <w:spacing w:before="0" w:after="0" w:line="252" w:lineRule="auto"/>
              <w:jc w:val="left"/>
            </w:pPr>
            <w:r>
              <w:rPr>
                <w:rFonts w:ascii="Calibri" w:hAnsi="Calibri" w:eastAsia="Calibri"/>
                <w:b w:val="0"/>
                <w:color w:val="111827"/>
                <w:sz w:val="14"/>
              </w:rPr>
              <w:t>Fast dense improved retention by 2/29 and supported reader by 0.5/29 over plain while increasing all-in words from 258 to 489.</w:t>
            </w:r>
          </w:p>
        </w:tc>
        <w:tc>
          <w:tcPr>
            <w:tcW w:type="dxa" w:w="3280"/>
            <w:vAlign w:val="center"/>
          </w:tcPr>
          <w:p>
            <w:pPr>
              <w:pStyle w:val="TableBody"/>
              <w:spacing w:before="0" w:after="0" w:line="252" w:lineRule="auto"/>
              <w:jc w:val="left"/>
            </w:pPr>
            <w:r>
              <w:rPr>
                <w:rFonts w:ascii="Calibri" w:hAnsi="Calibri" w:eastAsia="Calibri"/>
                <w:b w:val="0"/>
                <w:color w:val="111827"/>
                <w:sz w:val="14"/>
              </w:rPr>
              <w:t>Treat structure as conditional assistance, not a universal constitution; qualify model and case interaction prospectively.</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AN-003</w:t>
            </w:r>
          </w:p>
        </w:tc>
        <w:tc>
          <w:tcPr>
            <w:tcW w:type="dxa" w:w="1950"/>
            <w:vAlign w:val="center"/>
          </w:tcPr>
          <w:p>
            <w:pPr>
              <w:pStyle w:val="TableBody"/>
              <w:spacing w:before="0" w:after="0" w:line="252" w:lineRule="auto"/>
              <w:jc w:val="left"/>
            </w:pPr>
            <w:r>
              <w:rPr>
                <w:rFonts w:ascii="Calibri" w:hAnsi="Calibri" w:eastAsia="Calibri"/>
                <w:b w:val="0"/>
                <w:color w:val="111827"/>
                <w:sz w:val="14"/>
              </w:rPr>
              <w:t>Sparse rules reduced use without losing facts</w:t>
            </w:r>
          </w:p>
        </w:tc>
        <w:tc>
          <w:tcPr>
            <w:tcW w:type="dxa" w:w="3280"/>
            <w:vAlign w:val="center"/>
          </w:tcPr>
          <w:p>
            <w:pPr>
              <w:pStyle w:val="TableBody"/>
              <w:spacing w:before="0" w:after="0" w:line="252" w:lineRule="auto"/>
              <w:jc w:val="left"/>
            </w:pPr>
            <w:r>
              <w:rPr>
                <w:rFonts w:ascii="Calibri" w:hAnsi="Calibri" w:eastAsia="Calibri"/>
                <w:b w:val="0"/>
                <w:color w:val="111827"/>
                <w:sz w:val="14"/>
              </w:rPr>
              <w:t>Ultra sparse retained 29/29 but had the lowest Ultra supported reader score, 27.5/29.</w:t>
            </w:r>
          </w:p>
        </w:tc>
        <w:tc>
          <w:tcPr>
            <w:tcW w:type="dxa" w:w="3280"/>
            <w:vAlign w:val="center"/>
          </w:tcPr>
          <w:p>
            <w:pPr>
              <w:pStyle w:val="TableBody"/>
              <w:spacing w:before="0" w:after="0" w:line="252" w:lineRule="auto"/>
              <w:jc w:val="left"/>
            </w:pPr>
            <w:r>
              <w:rPr>
                <w:rFonts w:ascii="Calibri" w:hAnsi="Calibri" w:eastAsia="Calibri"/>
                <w:b w:val="0"/>
                <w:color w:val="111827"/>
                <w:sz w:val="14"/>
              </w:rPr>
              <w:t>Activate rules from local triggers; never let a persistent list become an overapplied worldview.</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AN-004</w:t>
            </w:r>
          </w:p>
        </w:tc>
        <w:tc>
          <w:tcPr>
            <w:tcW w:type="dxa" w:w="1950"/>
            <w:vAlign w:val="center"/>
          </w:tcPr>
          <w:p>
            <w:pPr>
              <w:pStyle w:val="TableBody"/>
              <w:spacing w:before="0" w:after="0" w:line="252" w:lineRule="auto"/>
              <w:jc w:val="left"/>
            </w:pPr>
            <w:r>
              <w:rPr>
                <w:rFonts w:ascii="Calibri" w:hAnsi="Calibri" w:eastAsia="Calibri"/>
                <w:b w:val="0"/>
                <w:color w:val="111827"/>
                <w:sz w:val="14"/>
              </w:rPr>
              <w:t>The failed-latch lexical trap</w:t>
            </w:r>
          </w:p>
        </w:tc>
        <w:tc>
          <w:tcPr>
            <w:tcW w:type="dxa" w:w="3280"/>
            <w:vAlign w:val="center"/>
          </w:tcPr>
          <w:p>
            <w:pPr>
              <w:pStyle w:val="TableBody"/>
              <w:spacing w:before="0" w:after="0" w:line="252" w:lineRule="auto"/>
              <w:jc w:val="left"/>
            </w:pPr>
            <w:r>
              <w:rPr>
                <w:rFonts w:ascii="Calibri" w:hAnsi="Calibri" w:eastAsia="Calibri"/>
                <w:b w:val="0"/>
                <w:color w:val="111827"/>
                <w:sz w:val="14"/>
              </w:rPr>
              <w:t>A reader treated a latch that failed to end an episode as evidence that the trigger itself failed.</w:t>
            </w:r>
          </w:p>
        </w:tc>
        <w:tc>
          <w:tcPr>
            <w:tcW w:type="dxa" w:w="3280"/>
            <w:vAlign w:val="center"/>
          </w:tcPr>
          <w:p>
            <w:pPr>
              <w:pStyle w:val="TableBody"/>
              <w:spacing w:before="0" w:after="0" w:line="252" w:lineRule="auto"/>
              <w:jc w:val="left"/>
            </w:pPr>
            <w:r>
              <w:rPr>
                <w:rFonts w:ascii="Calibri" w:hAnsi="Calibri" w:eastAsia="Calibri"/>
                <w:b w:val="0"/>
                <w:color w:val="111827"/>
                <w:sz w:val="14"/>
              </w:rPr>
              <w:t>Bind the exact predicate and its object; avoid compressed success/failure language when local effects differ.</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AN-005</w:t>
            </w:r>
          </w:p>
        </w:tc>
        <w:tc>
          <w:tcPr>
            <w:tcW w:type="dxa" w:w="1950"/>
            <w:vAlign w:val="center"/>
          </w:tcPr>
          <w:p>
            <w:pPr>
              <w:pStyle w:val="TableBody"/>
              <w:spacing w:before="0" w:after="0" w:line="252" w:lineRule="auto"/>
              <w:jc w:val="left"/>
            </w:pPr>
            <w:r>
              <w:rPr>
                <w:rFonts w:ascii="Calibri" w:hAnsi="Calibri" w:eastAsia="Calibri"/>
                <w:b w:val="0"/>
                <w:color w:val="111827"/>
                <w:sz w:val="14"/>
              </w:rPr>
              <w:t>Non-entailment became its opposite</w:t>
            </w:r>
          </w:p>
        </w:tc>
        <w:tc>
          <w:tcPr>
            <w:tcW w:type="dxa" w:w="3280"/>
            <w:vAlign w:val="center"/>
          </w:tcPr>
          <w:p>
            <w:pPr>
              <w:pStyle w:val="TableBody"/>
              <w:spacing w:before="0" w:after="0" w:line="252" w:lineRule="auto"/>
              <w:jc w:val="left"/>
            </w:pPr>
            <w:r>
              <w:rPr>
                <w:rFonts w:ascii="Calibri" w:hAnsi="Calibri" w:eastAsia="Calibri"/>
                <w:b w:val="0"/>
                <w:color w:val="111827"/>
                <w:sz w:val="14"/>
              </w:rPr>
              <w:t>A model converted an exception that applied nowhere else into a positive requirement for the boundary case.</w:t>
            </w:r>
          </w:p>
        </w:tc>
        <w:tc>
          <w:tcPr>
            <w:tcW w:type="dxa" w:w="3280"/>
            <w:vAlign w:val="center"/>
          </w:tcPr>
          <w:p>
            <w:pPr>
              <w:pStyle w:val="TableBody"/>
              <w:spacing w:before="0" w:after="0" w:line="252" w:lineRule="auto"/>
              <w:jc w:val="left"/>
            </w:pPr>
            <w:r>
              <w:rPr>
                <w:rFonts w:ascii="Calibri" w:hAnsi="Calibri" w:eastAsia="Calibri"/>
                <w:b w:val="0"/>
                <w:color w:val="111827"/>
                <w:sz w:val="14"/>
              </w:rPr>
              <w:t>Preserve NOT_EARNED plus live alternatives; failure of one route never earns its opposite.</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AN-006</w:t>
            </w:r>
          </w:p>
        </w:tc>
        <w:tc>
          <w:tcPr>
            <w:tcW w:type="dxa" w:w="1950"/>
            <w:vAlign w:val="center"/>
          </w:tcPr>
          <w:p>
            <w:pPr>
              <w:pStyle w:val="TableBody"/>
              <w:spacing w:before="0" w:after="0" w:line="252" w:lineRule="auto"/>
              <w:jc w:val="left"/>
            </w:pPr>
            <w:r>
              <w:rPr>
                <w:rFonts w:ascii="Calibri" w:hAnsi="Calibri" w:eastAsia="Calibri"/>
                <w:b w:val="0"/>
                <w:color w:val="111827"/>
                <w:sz w:val="14"/>
              </w:rPr>
              <w:t>Packet presence was not query addressability</w:t>
            </w:r>
          </w:p>
        </w:tc>
        <w:tc>
          <w:tcPr>
            <w:tcW w:type="dxa" w:w="3280"/>
            <w:vAlign w:val="center"/>
          </w:tcPr>
          <w:p>
            <w:pPr>
              <w:pStyle w:val="TableBody"/>
              <w:spacing w:before="0" w:after="0" w:line="252" w:lineRule="auto"/>
              <w:jc w:val="left"/>
            </w:pPr>
            <w:r>
              <w:rPr>
                <w:rFonts w:ascii="Calibri" w:hAnsi="Calibri" w:eastAsia="Calibri"/>
                <w:b w:val="0"/>
                <w:color w:val="111827"/>
                <w:sz w:val="14"/>
              </w:rPr>
              <w:t>A packet retained an initial count change but the reader returned OPEN for the timestamped question because the event-time binding was absent.</w:t>
            </w:r>
          </w:p>
        </w:tc>
        <w:tc>
          <w:tcPr>
            <w:tcW w:type="dxa" w:w="3280"/>
            <w:vAlign w:val="center"/>
          </w:tcPr>
          <w:p>
            <w:pPr>
              <w:pStyle w:val="TableBody"/>
              <w:spacing w:before="0" w:after="0" w:line="252" w:lineRule="auto"/>
              <w:jc w:val="left"/>
            </w:pPr>
            <w:r>
              <w:rPr>
                <w:rFonts w:ascii="Calibri" w:hAnsi="Calibri" w:eastAsia="Calibri"/>
                <w:b w:val="0"/>
                <w:color w:val="111827"/>
                <w:sz w:val="14"/>
              </w:rPr>
              <w:t>Address facts by identity, event, time, and scope; test delayed lookup separately from compression retention.</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AN-007</w:t>
            </w:r>
          </w:p>
        </w:tc>
        <w:tc>
          <w:tcPr>
            <w:tcW w:type="dxa" w:w="1950"/>
            <w:vAlign w:val="center"/>
          </w:tcPr>
          <w:p>
            <w:pPr>
              <w:pStyle w:val="TableBody"/>
              <w:spacing w:before="0" w:after="0" w:line="252" w:lineRule="auto"/>
              <w:jc w:val="left"/>
            </w:pPr>
            <w:r>
              <w:rPr>
                <w:rFonts w:ascii="Calibri" w:hAnsi="Calibri" w:eastAsia="Calibri"/>
                <w:b w:val="0"/>
                <w:color w:val="111827"/>
                <w:sz w:val="14"/>
              </w:rPr>
              <w:t>One capsule could not cover unforeseen questions</w:t>
            </w:r>
          </w:p>
        </w:tc>
        <w:tc>
          <w:tcPr>
            <w:tcW w:type="dxa" w:w="3280"/>
            <w:vAlign w:val="center"/>
          </w:tcPr>
          <w:p>
            <w:pPr>
              <w:pStyle w:val="TableBody"/>
              <w:spacing w:before="0" w:after="0" w:line="252" w:lineRule="auto"/>
              <w:jc w:val="left"/>
            </w:pPr>
            <w:r>
              <w:rPr>
                <w:rFonts w:ascii="Calibri" w:hAnsi="Calibri" w:eastAsia="Calibri"/>
                <w:b w:val="0"/>
                <w:color w:val="111827"/>
                <w:sz w:val="14"/>
              </w:rPr>
              <w:t>Word-capped summaries retained the main story while losing carrier change, boundary, timestamp, or operational bindings needed later.</w:t>
            </w:r>
          </w:p>
        </w:tc>
        <w:tc>
          <w:tcPr>
            <w:tcW w:type="dxa" w:w="3280"/>
            <w:vAlign w:val="center"/>
          </w:tcPr>
          <w:p>
            <w:pPr>
              <w:pStyle w:val="TableBody"/>
              <w:spacing w:before="0" w:after="0" w:line="252" w:lineRule="auto"/>
              <w:jc w:val="left"/>
            </w:pPr>
            <w:r>
              <w:rPr>
                <w:rFonts w:ascii="Calibri" w:hAnsi="Calibri" w:eastAsia="Calibri"/>
                <w:b w:val="0"/>
                <w:color w:val="111827"/>
                <w:sz w:val="14"/>
              </w:rPr>
              <w:t>Keep exact source and reentry reachable; a readable capsule is not a complete source substitute.</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AN-008</w:t>
            </w:r>
          </w:p>
        </w:tc>
        <w:tc>
          <w:tcPr>
            <w:tcW w:type="dxa" w:w="1950"/>
            <w:vAlign w:val="center"/>
          </w:tcPr>
          <w:p>
            <w:pPr>
              <w:pStyle w:val="TableBody"/>
              <w:spacing w:before="0" w:after="0" w:line="252" w:lineRule="auto"/>
              <w:jc w:val="left"/>
            </w:pPr>
            <w:r>
              <w:rPr>
                <w:rFonts w:ascii="Calibri" w:hAnsi="Calibri" w:eastAsia="Calibri"/>
                <w:b w:val="0"/>
                <w:color w:val="111827"/>
                <w:sz w:val="14"/>
              </w:rPr>
              <w:t>Placebo parity</w:t>
            </w:r>
          </w:p>
        </w:tc>
        <w:tc>
          <w:tcPr>
            <w:tcW w:type="dxa" w:w="3280"/>
            <w:vAlign w:val="center"/>
          </w:tcPr>
          <w:p>
            <w:pPr>
              <w:pStyle w:val="TableBody"/>
              <w:spacing w:before="0" w:after="0" w:line="252" w:lineRule="auto"/>
              <w:jc w:val="left"/>
            </w:pPr>
            <w:r>
              <w:rPr>
                <w:rFonts w:ascii="Calibri" w:hAnsi="Calibri" w:eastAsia="Calibri"/>
                <w:b w:val="0"/>
                <w:color w:val="111827"/>
                <w:sz w:val="14"/>
              </w:rPr>
              <w:t>Plain and semantically empty scaffolds often approached meaningful fields.</w:t>
            </w:r>
          </w:p>
        </w:tc>
        <w:tc>
          <w:tcPr>
            <w:tcW w:type="dxa" w:w="3280"/>
            <w:vAlign w:val="center"/>
          </w:tcPr>
          <w:p>
            <w:pPr>
              <w:pStyle w:val="TableBody"/>
              <w:spacing w:before="0" w:after="0" w:line="252" w:lineRule="auto"/>
              <w:jc w:val="left"/>
            </w:pPr>
            <w:r>
              <w:rPr>
                <w:rFonts w:ascii="Calibri" w:hAnsi="Calibri" w:eastAsia="Calibri"/>
                <w:b w:val="0"/>
                <w:color w:val="111827"/>
                <w:sz w:val="14"/>
              </w:rPr>
              <w:t>Field lift is unearned pending equal-budget placebo, shuffled, wrong-field, opaque-label, and prospective-domain controls.</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AN-009</w:t>
            </w:r>
          </w:p>
        </w:tc>
        <w:tc>
          <w:tcPr>
            <w:tcW w:type="dxa" w:w="1950"/>
            <w:vAlign w:val="center"/>
          </w:tcPr>
          <w:p>
            <w:pPr>
              <w:pStyle w:val="TableBody"/>
              <w:spacing w:before="0" w:after="0" w:line="252" w:lineRule="auto"/>
              <w:jc w:val="left"/>
            </w:pPr>
            <w:r>
              <w:rPr>
                <w:rFonts w:ascii="Calibri" w:hAnsi="Calibri" w:eastAsia="Calibri"/>
                <w:b w:val="0"/>
                <w:color w:val="111827"/>
                <w:sz w:val="14"/>
              </w:rPr>
              <w:t>Millions of assertions collapsed to one evidence class</w:t>
            </w:r>
          </w:p>
        </w:tc>
        <w:tc>
          <w:tcPr>
            <w:tcW w:type="dxa" w:w="3280"/>
            <w:vAlign w:val="center"/>
          </w:tcPr>
          <w:p>
            <w:pPr>
              <w:pStyle w:val="TableBody"/>
              <w:spacing w:before="0" w:after="0" w:line="252" w:lineRule="auto"/>
              <w:jc w:val="left"/>
            </w:pPr>
            <w:r>
              <w:rPr>
                <w:rFonts w:ascii="Calibri" w:hAnsi="Calibri" w:eastAsia="Calibri"/>
                <w:b w:val="0"/>
                <w:color w:val="111827"/>
                <w:sz w:val="14"/>
              </w:rPr>
              <w:t>One build reported 23,981,308 prebuild assertions, 18.2M combination checks, and 4.31M tournament assertions, then correctly noted that shared source, builder, comparator, and oracle rows remained one evidence class.</w:t>
            </w:r>
          </w:p>
        </w:tc>
        <w:tc>
          <w:tcPr>
            <w:tcW w:type="dxa" w:w="3280"/>
            <w:vAlign w:val="center"/>
          </w:tcPr>
          <w:p>
            <w:pPr>
              <w:pStyle w:val="TableBody"/>
              <w:spacing w:before="0" w:after="0" w:line="252" w:lineRule="auto"/>
              <w:jc w:val="left"/>
            </w:pPr>
            <w:r>
              <w:rPr>
                <w:rFonts w:ascii="Calibri" w:hAnsi="Calibri" w:eastAsia="Calibri"/>
                <w:b w:val="0"/>
                <w:color w:val="111827"/>
                <w:sz w:val="14"/>
              </w:rPr>
              <w:t>Count independent origins, unique witnessed contrasts, and oracle classes; never use generated row volume as corroboration.</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AN-010</w:t>
            </w:r>
          </w:p>
        </w:tc>
        <w:tc>
          <w:tcPr>
            <w:tcW w:type="dxa" w:w="1950"/>
            <w:vAlign w:val="center"/>
          </w:tcPr>
          <w:p>
            <w:pPr>
              <w:pStyle w:val="TableBody"/>
              <w:spacing w:before="0" w:after="0" w:line="252" w:lineRule="auto"/>
              <w:jc w:val="left"/>
            </w:pPr>
            <w:r>
              <w:rPr>
                <w:rFonts w:ascii="Calibri" w:hAnsi="Calibri" w:eastAsia="Calibri"/>
                <w:b w:val="0"/>
                <w:color w:val="111827"/>
                <w:sz w:val="14"/>
              </w:rPr>
              <w:t>Scalar winner hid role winners</w:t>
            </w:r>
          </w:p>
        </w:tc>
        <w:tc>
          <w:tcPr>
            <w:tcW w:type="dxa" w:w="3280"/>
            <w:vAlign w:val="center"/>
          </w:tcPr>
          <w:p>
            <w:pPr>
              <w:pStyle w:val="TableBody"/>
              <w:spacing w:before="0" w:after="0" w:line="252" w:lineRule="auto"/>
              <w:jc w:val="left"/>
            </w:pPr>
            <w:r>
              <w:rPr>
                <w:rFonts w:ascii="Calibri" w:hAnsi="Calibri" w:eastAsia="Calibri"/>
                <w:b w:val="0"/>
                <w:color w:val="111827"/>
                <w:sz w:val="14"/>
              </w:rPr>
              <w:t>A candidate won 947 of 1000 weightings while other candidates won simplicity and preservation regions.</w:t>
            </w:r>
          </w:p>
        </w:tc>
        <w:tc>
          <w:tcPr>
            <w:tcW w:type="dxa" w:w="3280"/>
            <w:vAlign w:val="center"/>
          </w:tcPr>
          <w:p>
            <w:pPr>
              <w:pStyle w:val="TableBody"/>
              <w:spacing w:before="0" w:after="0" w:line="252" w:lineRule="auto"/>
              <w:jc w:val="left"/>
            </w:pPr>
            <w:r>
              <w:rPr>
                <w:rFonts w:ascii="Calibri" w:hAnsi="Calibri" w:eastAsia="Calibri"/>
                <w:b w:val="0"/>
                <w:color w:val="111827"/>
                <w:sz w:val="14"/>
              </w:rPr>
              <w:t>Preserve the Pareto frontier and role winners; do not promote one aggregate score into universal authority.</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AN-011</w:t>
            </w:r>
          </w:p>
        </w:tc>
        <w:tc>
          <w:tcPr>
            <w:tcW w:type="dxa" w:w="1950"/>
            <w:vAlign w:val="center"/>
          </w:tcPr>
          <w:p>
            <w:pPr>
              <w:pStyle w:val="TableBody"/>
              <w:spacing w:before="0" w:after="0" w:line="252" w:lineRule="auto"/>
              <w:jc w:val="left"/>
            </w:pPr>
            <w:r>
              <w:rPr>
                <w:rFonts w:ascii="Calibri" w:hAnsi="Calibri" w:eastAsia="Calibri"/>
                <w:b w:val="0"/>
                <w:color w:val="111827"/>
                <w:sz w:val="14"/>
              </w:rPr>
              <w:t>Universal graph hub was partly a construction tautology</w:t>
            </w:r>
          </w:p>
        </w:tc>
        <w:tc>
          <w:tcPr>
            <w:tcW w:type="dxa" w:w="3280"/>
            <w:vAlign w:val="center"/>
          </w:tcPr>
          <w:p>
            <w:pPr>
              <w:pStyle w:val="TableBody"/>
              <w:spacing w:before="0" w:after="0" w:line="252" w:lineRule="auto"/>
              <w:jc w:val="left"/>
            </w:pPr>
            <w:r>
              <w:rPr>
                <w:rFonts w:ascii="Calibri" w:hAnsi="Calibri" w:eastAsia="Calibri"/>
                <w:b w:val="0"/>
                <w:color w:val="111827"/>
                <w:sz w:val="14"/>
              </w:rPr>
              <w:t>Distinction had zero upstream dependencies and reached all 395 other terms in a graph built around distinctions.</w:t>
            </w:r>
          </w:p>
        </w:tc>
        <w:tc>
          <w:tcPr>
            <w:tcW w:type="dxa" w:w="3280"/>
            <w:vAlign w:val="center"/>
          </w:tcPr>
          <w:p>
            <w:pPr>
              <w:pStyle w:val="TableBody"/>
              <w:spacing w:before="0" w:after="0" w:line="252" w:lineRule="auto"/>
              <w:jc w:val="left"/>
            </w:pPr>
            <w:r>
              <w:rPr>
                <w:rFonts w:ascii="Calibri" w:hAnsi="Calibri" w:eastAsia="Calibri"/>
                <w:b w:val="0"/>
                <w:color w:val="111827"/>
                <w:sz w:val="14"/>
              </w:rPr>
              <w:t>Use global graphs for navigation and audit only; centrality does not establish an ontological root.</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AN-012</w:t>
            </w:r>
          </w:p>
        </w:tc>
        <w:tc>
          <w:tcPr>
            <w:tcW w:type="dxa" w:w="1950"/>
            <w:vAlign w:val="center"/>
          </w:tcPr>
          <w:p>
            <w:pPr>
              <w:pStyle w:val="TableBody"/>
              <w:spacing w:before="0" w:after="0" w:line="252" w:lineRule="auto"/>
              <w:jc w:val="left"/>
            </w:pPr>
            <w:r>
              <w:rPr>
                <w:rFonts w:ascii="Calibri" w:hAnsi="Calibri" w:eastAsia="Calibri"/>
                <w:b w:val="0"/>
                <w:color w:val="111827"/>
                <w:sz w:val="14"/>
              </w:rPr>
              <w:t>Generated edge prose looked like evidence</w:t>
            </w:r>
          </w:p>
        </w:tc>
        <w:tc>
          <w:tcPr>
            <w:tcW w:type="dxa" w:w="3280"/>
            <w:vAlign w:val="center"/>
          </w:tcPr>
          <w:p>
            <w:pPr>
              <w:pStyle w:val="TableBody"/>
              <w:spacing w:before="0" w:after="0" w:line="252" w:lineRule="auto"/>
              <w:jc w:val="left"/>
            </w:pPr>
            <w:r>
              <w:rPr>
                <w:rFonts w:ascii="Calibri" w:hAnsi="Calibri" w:eastAsia="Calibri"/>
                <w:b w:val="0"/>
                <w:color w:val="111827"/>
                <w:sz w:val="14"/>
              </w:rPr>
              <w:t>A successor build rejected templated witness prose for 1,410 edges because it did not uniquely discriminate changed returns.</w:t>
            </w:r>
          </w:p>
        </w:tc>
        <w:tc>
          <w:tcPr>
            <w:tcW w:type="dxa" w:w="3280"/>
            <w:vAlign w:val="center"/>
          </w:tcPr>
          <w:p>
            <w:pPr>
              <w:pStyle w:val="TableBody"/>
              <w:spacing w:before="0" w:after="0" w:line="252" w:lineRule="auto"/>
              <w:jc w:val="left"/>
            </w:pPr>
            <w:r>
              <w:rPr>
                <w:rFonts w:ascii="Calibri" w:hAnsi="Calibri" w:eastAsia="Calibri"/>
                <w:b w:val="0"/>
                <w:color w:val="111827"/>
                <w:sz w:val="14"/>
              </w:rPr>
              <w:t>An edge earns standing only through a matched ablation, countermodel, or observed return change.</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AN-013</w:t>
            </w:r>
          </w:p>
        </w:tc>
        <w:tc>
          <w:tcPr>
            <w:tcW w:type="dxa" w:w="1950"/>
            <w:vAlign w:val="center"/>
          </w:tcPr>
          <w:p>
            <w:pPr>
              <w:pStyle w:val="TableBody"/>
              <w:spacing w:before="0" w:after="0" w:line="252" w:lineRule="auto"/>
              <w:jc w:val="left"/>
            </w:pPr>
            <w:r>
              <w:rPr>
                <w:rFonts w:ascii="Calibri" w:hAnsi="Calibri" w:eastAsia="Calibri"/>
                <w:b w:val="0"/>
                <w:color w:val="111827"/>
                <w:sz w:val="14"/>
              </w:rPr>
              <w:t>Terminology changed the architecture center</w:t>
            </w:r>
          </w:p>
        </w:tc>
        <w:tc>
          <w:tcPr>
            <w:tcW w:type="dxa" w:w="3280"/>
            <w:vAlign w:val="center"/>
          </w:tcPr>
          <w:p>
            <w:pPr>
              <w:pStyle w:val="TableBody"/>
              <w:spacing w:before="0" w:after="0" w:line="252" w:lineRule="auto"/>
              <w:jc w:val="left"/>
            </w:pPr>
            <w:r>
              <w:rPr>
                <w:rFonts w:ascii="Calibri" w:hAnsi="Calibri" w:eastAsia="Calibri"/>
                <w:b w:val="0"/>
                <w:color w:val="111827"/>
                <w:sz w:val="14"/>
              </w:rPr>
              <w:t>One version centered a term atlas; its successor demoted it and centered the situated language event.</w:t>
            </w:r>
          </w:p>
        </w:tc>
        <w:tc>
          <w:tcPr>
            <w:tcW w:type="dxa" w:w="3280"/>
            <w:vAlign w:val="center"/>
          </w:tcPr>
          <w:p>
            <w:pPr>
              <w:pStyle w:val="TableBody"/>
              <w:spacing w:before="0" w:after="0" w:line="252" w:lineRule="auto"/>
              <w:jc w:val="left"/>
            </w:pPr>
            <w:r>
              <w:rPr>
                <w:rFonts w:ascii="Calibri" w:hAnsi="Calibri" w:eastAsia="Calibri"/>
                <w:b w:val="0"/>
                <w:color w:val="111827"/>
                <w:sz w:val="14"/>
              </w:rPr>
              <w:t>Keep terms revisable and require consequence invariance across renaming; exact language can reveal structure and also bias it.</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AN-014</w:t>
            </w:r>
          </w:p>
        </w:tc>
        <w:tc>
          <w:tcPr>
            <w:tcW w:type="dxa" w:w="1950"/>
            <w:vAlign w:val="center"/>
          </w:tcPr>
          <w:p>
            <w:pPr>
              <w:pStyle w:val="TableBody"/>
              <w:spacing w:before="0" w:after="0" w:line="252" w:lineRule="auto"/>
              <w:jc w:val="left"/>
            </w:pPr>
            <w:r>
              <w:rPr>
                <w:rFonts w:ascii="Calibri" w:hAnsi="Calibri" w:eastAsia="Calibri"/>
                <w:b w:val="0"/>
                <w:color w:val="111827"/>
                <w:sz w:val="14"/>
              </w:rPr>
              <w:t>Exact language caused pairwise explosion</w:t>
            </w:r>
          </w:p>
        </w:tc>
        <w:tc>
          <w:tcPr>
            <w:tcW w:type="dxa" w:w="3280"/>
            <w:vAlign w:val="center"/>
          </w:tcPr>
          <w:p>
            <w:pPr>
              <w:pStyle w:val="TableBody"/>
              <w:spacing w:before="0" w:after="0" w:line="252" w:lineRule="auto"/>
              <w:jc w:val="left"/>
            </w:pPr>
            <w:r>
              <w:rPr>
                <w:rFonts w:ascii="Calibri" w:hAnsi="Calibri" w:eastAsia="Calibri"/>
                <w:b w:val="0"/>
                <w:color w:val="111827"/>
                <w:sz w:val="14"/>
              </w:rPr>
              <w:t>An exact-language artifact grew to 602 pages with 400 inequality and 360 nonimplication instances.</w:t>
            </w:r>
          </w:p>
        </w:tc>
        <w:tc>
          <w:tcPr>
            <w:tcW w:type="dxa" w:w="3280"/>
            <w:vAlign w:val="center"/>
          </w:tcPr>
          <w:p>
            <w:pPr>
              <w:pStyle w:val="TableBody"/>
              <w:spacing w:before="0" w:after="0" w:line="252" w:lineRule="auto"/>
              <w:jc w:val="left"/>
            </w:pPr>
            <w:r>
              <w:rPr>
                <w:rFonts w:ascii="Calibri" w:hAnsi="Calibri" w:eastAsia="Calibri"/>
                <w:b w:val="0"/>
                <w:color w:val="111827"/>
                <w:sz w:val="14"/>
              </w:rPr>
              <w:t>Factor anti-collapse into local family guards and exceptional overrides; do not enumerate every pair.</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AN-015</w:t>
            </w:r>
          </w:p>
        </w:tc>
        <w:tc>
          <w:tcPr>
            <w:tcW w:type="dxa" w:w="1950"/>
            <w:vAlign w:val="center"/>
          </w:tcPr>
          <w:p>
            <w:pPr>
              <w:pStyle w:val="TableBody"/>
              <w:spacing w:before="0" w:after="0" w:line="252" w:lineRule="auto"/>
              <w:jc w:val="left"/>
            </w:pPr>
            <w:r>
              <w:rPr>
                <w:rFonts w:ascii="Calibri" w:hAnsi="Calibri" w:eastAsia="Calibri"/>
                <w:b w:val="0"/>
                <w:color w:val="111827"/>
                <w:sz w:val="14"/>
              </w:rPr>
              <w:t>Half a lexicon was repeated policy</w:t>
            </w:r>
          </w:p>
        </w:tc>
        <w:tc>
          <w:tcPr>
            <w:tcW w:type="dxa" w:w="3280"/>
            <w:vAlign w:val="center"/>
          </w:tcPr>
          <w:p>
            <w:pPr>
              <w:pStyle w:val="TableBody"/>
              <w:spacing w:before="0" w:after="0" w:line="252" w:lineRule="auto"/>
              <w:jc w:val="left"/>
            </w:pPr>
            <w:r>
              <w:rPr>
                <w:rFonts w:ascii="Calibri" w:hAnsi="Calibri" w:eastAsia="Calibri"/>
                <w:b w:val="0"/>
                <w:color w:val="111827"/>
                <w:sz w:val="14"/>
              </w:rPr>
              <w:t>A 268-term lexicon repeated one exclusion 268 times and two activation sentences 178 times; those strings alone were about 49.5k characters, roughly 48 percent of the file.</w:t>
            </w:r>
          </w:p>
        </w:tc>
        <w:tc>
          <w:tcPr>
            <w:tcW w:type="dxa" w:w="3280"/>
            <w:vAlign w:val="center"/>
          </w:tcPr>
          <w:p>
            <w:pPr>
              <w:pStyle w:val="TableBody"/>
              <w:spacing w:before="0" w:after="0" w:line="252" w:lineRule="auto"/>
              <w:jc w:val="left"/>
            </w:pPr>
            <w:r>
              <w:rPr>
                <w:rFonts w:ascii="Calibri" w:hAnsi="Calibri" w:eastAsia="Calibri"/>
                <w:b w:val="0"/>
                <w:color w:val="111827"/>
                <w:sz w:val="14"/>
              </w:rPr>
              <w:t>Put policy and probes on neighborhoods once; term records carry only local deltas and identifiers.</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AN-016</w:t>
            </w:r>
          </w:p>
        </w:tc>
        <w:tc>
          <w:tcPr>
            <w:tcW w:type="dxa" w:w="1950"/>
            <w:vAlign w:val="center"/>
          </w:tcPr>
          <w:p>
            <w:pPr>
              <w:pStyle w:val="TableBody"/>
              <w:spacing w:before="0" w:after="0" w:line="252" w:lineRule="auto"/>
              <w:jc w:val="left"/>
            </w:pPr>
            <w:r>
              <w:rPr>
                <w:rFonts w:ascii="Calibri" w:hAnsi="Calibri" w:eastAsia="Calibri"/>
                <w:b w:val="0"/>
                <w:color w:val="111827"/>
                <w:sz w:val="14"/>
              </w:rPr>
              <w:t>Activation blindness erased practical value</w:t>
            </w:r>
          </w:p>
        </w:tc>
        <w:tc>
          <w:tcPr>
            <w:tcW w:type="dxa" w:w="3280"/>
            <w:vAlign w:val="center"/>
          </w:tcPr>
          <w:p>
            <w:pPr>
              <w:pStyle w:val="TableBody"/>
              <w:spacing w:before="0" w:after="0" w:line="252" w:lineRule="auto"/>
              <w:jc w:val="left"/>
            </w:pPr>
            <w:r>
              <w:rPr>
                <w:rFonts w:ascii="Calibri" w:hAnsi="Calibri" w:eastAsia="Calibri"/>
                <w:b w:val="0"/>
                <w:color w:val="111827"/>
                <w:sz w:val="14"/>
              </w:rPr>
              <w:t>A structured comparison tied a plain control while retrieving roughly 221k characters across 14 calls, much of it repeated front matter.</w:t>
            </w:r>
          </w:p>
        </w:tc>
        <w:tc>
          <w:tcPr>
            <w:tcW w:type="dxa" w:w="3280"/>
            <w:vAlign w:val="center"/>
          </w:tcPr>
          <w:p>
            <w:pPr>
              <w:pStyle w:val="TableBody"/>
              <w:spacing w:before="0" w:after="0" w:line="252" w:lineRule="auto"/>
              <w:jc w:val="left"/>
            </w:pPr>
            <w:r>
              <w:rPr>
                <w:rFonts w:ascii="Calibri" w:hAnsi="Calibri" w:eastAsia="Calibri"/>
                <w:b w:val="0"/>
                <w:color w:val="111827"/>
                <w:sz w:val="14"/>
              </w:rPr>
              <w:t>Log candidate, activation reason, retrieved delta, and answer consequence; dormant structure is the default.</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AN-017</w:t>
            </w:r>
          </w:p>
        </w:tc>
        <w:tc>
          <w:tcPr>
            <w:tcW w:type="dxa" w:w="1950"/>
            <w:vAlign w:val="center"/>
          </w:tcPr>
          <w:p>
            <w:pPr>
              <w:pStyle w:val="TableBody"/>
              <w:spacing w:before="0" w:after="0" w:line="252" w:lineRule="auto"/>
              <w:jc w:val="left"/>
            </w:pPr>
            <w:r>
              <w:rPr>
                <w:rFonts w:ascii="Calibri" w:hAnsi="Calibri" w:eastAsia="Calibri"/>
                <w:b w:val="0"/>
                <w:color w:val="111827"/>
                <w:sz w:val="14"/>
              </w:rPr>
              <w:t>An older six-record machine had a cleaner skeleton</w:t>
            </w:r>
          </w:p>
        </w:tc>
        <w:tc>
          <w:tcPr>
            <w:tcW w:type="dxa" w:w="3280"/>
            <w:vAlign w:val="center"/>
          </w:tcPr>
          <w:p>
            <w:pPr>
              <w:pStyle w:val="TableBody"/>
              <w:spacing w:before="0" w:after="0" w:line="252" w:lineRule="auto"/>
              <w:jc w:val="left"/>
            </w:pPr>
            <w:r>
              <w:rPr>
                <w:rFonts w:ascii="Calibri" w:hAnsi="Calibri" w:eastAsia="Calibri"/>
                <w:b w:val="0"/>
                <w:color w:val="111827"/>
                <w:sz w:val="14"/>
              </w:rPr>
              <w:t>A compact predecessor used six records and one loop after admitting that its earlier version found the center and overbuilt ceremony.</w:t>
            </w:r>
          </w:p>
        </w:tc>
        <w:tc>
          <w:tcPr>
            <w:tcW w:type="dxa" w:w="3280"/>
            <w:vAlign w:val="center"/>
          </w:tcPr>
          <w:p>
            <w:pPr>
              <w:pStyle w:val="TableBody"/>
              <w:spacing w:before="0" w:after="0" w:line="252" w:lineRule="auto"/>
              <w:jc w:val="left"/>
            </w:pPr>
            <w:r>
              <w:rPr>
                <w:rFonts w:ascii="Calibri" w:hAnsi="Calibri" w:eastAsia="Calibri"/>
                <w:b w:val="0"/>
                <w:color w:val="111827"/>
                <w:sz w:val="14"/>
              </w:rPr>
              <w:t>Retain its earning test—removal must change return, boundary, known error, receipt, or future correction—but keep the six-record topology as a donor until compared.</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AN-018</w:t>
            </w:r>
          </w:p>
        </w:tc>
        <w:tc>
          <w:tcPr>
            <w:tcW w:type="dxa" w:w="1950"/>
            <w:vAlign w:val="center"/>
          </w:tcPr>
          <w:p>
            <w:pPr>
              <w:pStyle w:val="TableBody"/>
              <w:spacing w:before="0" w:after="0" w:line="252" w:lineRule="auto"/>
              <w:jc w:val="left"/>
            </w:pPr>
            <w:r>
              <w:rPr>
                <w:rFonts w:ascii="Calibri" w:hAnsi="Calibri" w:eastAsia="Calibri"/>
                <w:b w:val="0"/>
                <w:color w:val="111827"/>
                <w:sz w:val="14"/>
              </w:rPr>
              <w:t>Minimality was role-relative</w:t>
            </w:r>
          </w:p>
        </w:tc>
        <w:tc>
          <w:tcPr>
            <w:tcW w:type="dxa" w:w="3280"/>
            <w:vAlign w:val="center"/>
          </w:tcPr>
          <w:p>
            <w:pPr>
              <w:pStyle w:val="TableBody"/>
              <w:spacing w:before="0" w:after="0" w:line="252" w:lineRule="auto"/>
              <w:jc w:val="left"/>
            </w:pPr>
            <w:r>
              <w:rPr>
                <w:rFonts w:ascii="Calibri" w:hAnsi="Calibri" w:eastAsia="Calibri"/>
                <w:b w:val="0"/>
                <w:color w:val="111827"/>
                <w:sz w:val="14"/>
              </w:rPr>
              <w:t>A full system covered all fixture categories while several minimal candidates excelled only in narrow roles.</w:t>
            </w:r>
          </w:p>
        </w:tc>
        <w:tc>
          <w:tcPr>
            <w:tcW w:type="dxa" w:w="3280"/>
            <w:vAlign w:val="center"/>
          </w:tcPr>
          <w:p>
            <w:pPr>
              <w:pStyle w:val="TableBody"/>
              <w:spacing w:before="0" w:after="0" w:line="252" w:lineRule="auto"/>
              <w:jc w:val="left"/>
            </w:pPr>
            <w:r>
              <w:rPr>
                <w:rFonts w:ascii="Calibri" w:hAnsi="Calibri" w:eastAsia="Calibri"/>
                <w:b w:val="0"/>
                <w:color w:val="111827"/>
                <w:sz w:val="14"/>
              </w:rPr>
              <w:t>Keep a small guard and dispatch kernel with reachable specialists; do not merge every winner into the default runtime.</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AN-019</w:t>
            </w:r>
          </w:p>
        </w:tc>
        <w:tc>
          <w:tcPr>
            <w:tcW w:type="dxa" w:w="1950"/>
            <w:vAlign w:val="center"/>
          </w:tcPr>
          <w:p>
            <w:pPr>
              <w:pStyle w:val="TableBody"/>
              <w:spacing w:before="0" w:after="0" w:line="252" w:lineRule="auto"/>
              <w:jc w:val="left"/>
            </w:pPr>
            <w:r>
              <w:rPr>
                <w:rFonts w:ascii="Calibri" w:hAnsi="Calibri" w:eastAsia="Calibri"/>
                <w:b w:val="0"/>
                <w:color w:val="111827"/>
                <w:sz w:val="14"/>
              </w:rPr>
              <w:t>Six clause fields survived unique ablation</w:t>
            </w:r>
          </w:p>
        </w:tc>
        <w:tc>
          <w:tcPr>
            <w:tcW w:type="dxa" w:w="3280"/>
            <w:vAlign w:val="center"/>
          </w:tcPr>
          <w:p>
            <w:pPr>
              <w:pStyle w:val="TableBody"/>
              <w:spacing w:before="0" w:after="0" w:line="252" w:lineRule="auto"/>
              <w:jc w:val="left"/>
            </w:pPr>
            <w:r>
              <w:rPr>
                <w:rFonts w:ascii="Calibri" w:hAnsi="Calibri" w:eastAsia="Calibri"/>
                <w:b w:val="0"/>
                <w:color w:val="111827"/>
                <w:sz w:val="14"/>
              </w:rPr>
              <w:t>Removing each of six fields produced a unique failure family.</w:t>
            </w:r>
          </w:p>
        </w:tc>
        <w:tc>
          <w:tcPr>
            <w:tcW w:type="dxa" w:w="3280"/>
            <w:vAlign w:val="center"/>
          </w:tcPr>
          <w:p>
            <w:pPr>
              <w:pStyle w:val="TableBody"/>
              <w:spacing w:before="0" w:after="0" w:line="252" w:lineRule="auto"/>
              <w:jc w:val="left"/>
            </w:pPr>
            <w:r>
              <w:rPr>
                <w:rFonts w:ascii="Calibri" w:hAnsi="Calibri" w:eastAsia="Calibri"/>
                <w:b w:val="0"/>
                <w:color w:val="111827"/>
                <w:sz w:val="14"/>
              </w:rPr>
              <w:t>Require only the locally consequential members of these six dimensions; keep successor, provenance, and rendering conditional.</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AN-020</w:t>
            </w:r>
          </w:p>
        </w:tc>
        <w:tc>
          <w:tcPr>
            <w:tcW w:type="dxa" w:w="1950"/>
            <w:vAlign w:val="center"/>
          </w:tcPr>
          <w:p>
            <w:pPr>
              <w:pStyle w:val="TableBody"/>
              <w:spacing w:before="0" w:after="0" w:line="252" w:lineRule="auto"/>
              <w:jc w:val="left"/>
            </w:pPr>
            <w:r>
              <w:rPr>
                <w:rFonts w:ascii="Calibri" w:hAnsi="Calibri" w:eastAsia="Calibri"/>
                <w:b w:val="0"/>
                <w:color w:val="111827"/>
                <w:sz w:val="14"/>
              </w:rPr>
              <w:t>Recursion was elegant but substantively thin</w:t>
            </w:r>
          </w:p>
        </w:tc>
        <w:tc>
          <w:tcPr>
            <w:tcW w:type="dxa" w:w="3280"/>
            <w:vAlign w:val="center"/>
          </w:tcPr>
          <w:p>
            <w:pPr>
              <w:pStyle w:val="TableBody"/>
              <w:spacing w:before="0" w:after="0" w:line="252" w:lineRule="auto"/>
              <w:jc w:val="left"/>
            </w:pPr>
            <w:r>
              <w:rPr>
                <w:rFonts w:ascii="Calibri" w:hAnsi="Calibri" w:eastAsia="Calibri"/>
                <w:b w:val="0"/>
                <w:color w:val="111827"/>
                <w:sz w:val="14"/>
              </w:rPr>
              <w:t>A recursive system derived strong-looking conclusions only after importing diagnosis-relevant predicates it could not manufacture.</w:t>
            </w:r>
          </w:p>
        </w:tc>
        <w:tc>
          <w:tcPr>
            <w:tcW w:type="dxa" w:w="3280"/>
            <w:vAlign w:val="center"/>
          </w:tcPr>
          <w:p>
            <w:pPr>
              <w:pStyle w:val="TableBody"/>
              <w:spacing w:before="0" w:after="0" w:line="252" w:lineRule="auto"/>
              <w:jc w:val="left"/>
            </w:pPr>
            <w:r>
              <w:rPr>
                <w:rFonts w:ascii="Calibri" w:hAnsi="Calibri" w:eastAsia="Calibri"/>
                <w:b w:val="0"/>
                <w:color w:val="111827"/>
                <w:sz w:val="14"/>
              </w:rPr>
              <w:t>Activate recursion only with explicit state, update, invariant, reentry, and termination; recursion does not create missing distinctions.</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AN-021</w:t>
            </w:r>
          </w:p>
        </w:tc>
        <w:tc>
          <w:tcPr>
            <w:tcW w:type="dxa" w:w="1950"/>
            <w:vAlign w:val="center"/>
          </w:tcPr>
          <w:p>
            <w:pPr>
              <w:pStyle w:val="TableBody"/>
              <w:spacing w:before="0" w:after="0" w:line="252" w:lineRule="auto"/>
              <w:jc w:val="left"/>
            </w:pPr>
            <w:r>
              <w:rPr>
                <w:rFonts w:ascii="Calibri" w:hAnsi="Calibri" w:eastAsia="Calibri"/>
                <w:b w:val="0"/>
                <w:color w:val="111827"/>
                <w:sz w:val="14"/>
              </w:rPr>
              <w:t>Stack and circuit were equivalent encodings</w:t>
            </w:r>
          </w:p>
        </w:tc>
        <w:tc>
          <w:tcPr>
            <w:tcW w:type="dxa" w:w="3280"/>
            <w:vAlign w:val="center"/>
          </w:tcPr>
          <w:p>
            <w:pPr>
              <w:pStyle w:val="TableBody"/>
              <w:spacing w:before="0" w:after="0" w:line="252" w:lineRule="auto"/>
              <w:jc w:val="left"/>
            </w:pPr>
            <w:r>
              <w:rPr>
                <w:rFonts w:ascii="Calibri" w:hAnsi="Calibri" w:eastAsia="Calibri"/>
                <w:b w:val="0"/>
                <w:color w:val="111827"/>
                <w:sz w:val="14"/>
              </w:rPr>
              <w:t>A one-pass revision stack and recurrent revision circuit were alternate views of the same event architecture.</w:t>
            </w:r>
          </w:p>
        </w:tc>
        <w:tc>
          <w:tcPr>
            <w:tcW w:type="dxa" w:w="3280"/>
            <w:vAlign w:val="center"/>
          </w:tcPr>
          <w:p>
            <w:pPr>
              <w:pStyle w:val="TableBody"/>
              <w:spacing w:before="0" w:after="0" w:line="252" w:lineRule="auto"/>
              <w:jc w:val="left"/>
            </w:pPr>
            <w:r>
              <w:rPr>
                <w:rFonts w:ascii="Calibri" w:hAnsi="Calibri" w:eastAsia="Calibri"/>
                <w:b w:val="0"/>
                <w:color w:val="111827"/>
                <w:sz w:val="14"/>
              </w:rPr>
              <w:t>Canonicalize equivalent mechanisms to one trace with alternate renderers; do not count presentations as independent evidence.</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AN-022</w:t>
            </w:r>
          </w:p>
        </w:tc>
        <w:tc>
          <w:tcPr>
            <w:tcW w:type="dxa" w:w="1950"/>
            <w:vAlign w:val="center"/>
          </w:tcPr>
          <w:p>
            <w:pPr>
              <w:pStyle w:val="TableBody"/>
              <w:spacing w:before="0" w:after="0" w:line="252" w:lineRule="auto"/>
              <w:jc w:val="left"/>
            </w:pPr>
            <w:r>
              <w:rPr>
                <w:rFonts w:ascii="Calibri" w:hAnsi="Calibri" w:eastAsia="Calibri"/>
                <w:b w:val="0"/>
                <w:color w:val="111827"/>
                <w:sz w:val="14"/>
              </w:rPr>
              <w:t>Final and canonical marked live search</w:t>
            </w:r>
          </w:p>
        </w:tc>
        <w:tc>
          <w:tcPr>
            <w:tcW w:type="dxa" w:w="3280"/>
            <w:vAlign w:val="center"/>
          </w:tcPr>
          <w:p>
            <w:pPr>
              <w:pStyle w:val="TableBody"/>
              <w:spacing w:before="0" w:after="0" w:line="252" w:lineRule="auto"/>
              <w:jc w:val="left"/>
            </w:pPr>
            <w:r>
              <w:rPr>
                <w:rFonts w:ascii="Calibri" w:hAnsi="Calibri" w:eastAsia="Calibri"/>
                <w:b w:val="0"/>
                <w:color w:val="111827"/>
                <w:sz w:val="14"/>
              </w:rPr>
              <w:t>One archive contained multiple incompatible final compressions, canonical loops, and core invariants.</w:t>
            </w:r>
          </w:p>
        </w:tc>
        <w:tc>
          <w:tcPr>
            <w:tcW w:type="dxa" w:w="3280"/>
            <w:vAlign w:val="center"/>
          </w:tcPr>
          <w:p>
            <w:pPr>
              <w:pStyle w:val="TableBody"/>
              <w:spacing w:before="0" w:after="0" w:line="252" w:lineRule="auto"/>
              <w:jc w:val="left"/>
            </w:pPr>
            <w:r>
              <w:rPr>
                <w:rFonts w:ascii="Calibri" w:hAnsi="Calibri" w:eastAsia="Calibri"/>
                <w:b w:val="0"/>
                <w:color w:val="111827"/>
                <w:sz w:val="14"/>
              </w:rPr>
              <w:t>Strip version and rhetorical authority; compare anonymous candidates by consequence and countermodel.</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AN-023</w:t>
            </w:r>
          </w:p>
        </w:tc>
        <w:tc>
          <w:tcPr>
            <w:tcW w:type="dxa" w:w="1950"/>
            <w:vAlign w:val="center"/>
          </w:tcPr>
          <w:p>
            <w:pPr>
              <w:pStyle w:val="TableBody"/>
              <w:spacing w:before="0" w:after="0" w:line="252" w:lineRule="auto"/>
              <w:jc w:val="left"/>
            </w:pPr>
            <w:r>
              <w:rPr>
                <w:rFonts w:ascii="Calibri" w:hAnsi="Calibri" w:eastAsia="Calibri"/>
                <w:b w:val="0"/>
                <w:color w:val="111827"/>
                <w:sz w:val="14"/>
              </w:rPr>
              <w:t>Archive frequency may be duplicate frequency</w:t>
            </w:r>
          </w:p>
        </w:tc>
        <w:tc>
          <w:tcPr>
            <w:tcW w:type="dxa" w:w="3280"/>
            <w:vAlign w:val="center"/>
          </w:tcPr>
          <w:p>
            <w:pPr>
              <w:pStyle w:val="TableBody"/>
              <w:spacing w:before="0" w:after="0" w:line="252" w:lineRule="auto"/>
              <w:jc w:val="left"/>
            </w:pPr>
            <w:r>
              <w:rPr>
                <w:rFonts w:ascii="Calibri" w:hAnsi="Calibri" w:eastAsia="Calibri"/>
                <w:b w:val="0"/>
                <w:color w:val="111827"/>
                <w:sz w:val="14"/>
              </w:rPr>
              <w:t>Several vault snapshots had matching sizes and snippets; exact byte identity was unresolved.</w:t>
            </w:r>
          </w:p>
        </w:tc>
        <w:tc>
          <w:tcPr>
            <w:tcW w:type="dxa" w:w="3280"/>
            <w:vAlign w:val="center"/>
          </w:tcPr>
          <w:p>
            <w:pPr>
              <w:pStyle w:val="TableBody"/>
              <w:spacing w:before="0" w:after="0" w:line="252" w:lineRule="auto"/>
              <w:jc w:val="left"/>
            </w:pPr>
            <w:r>
              <w:rPr>
                <w:rFonts w:ascii="Calibri" w:hAnsi="Calibri" w:eastAsia="Calibri"/>
                <w:b w:val="0"/>
                <w:color w:val="111827"/>
                <w:sz w:val="14"/>
              </w:rPr>
              <w:t>Deduplicate by content hash while preserving chronology and origin count; repeated storage is not independent corroboration.</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AN-024</w:t>
            </w:r>
          </w:p>
        </w:tc>
        <w:tc>
          <w:tcPr>
            <w:tcW w:type="dxa" w:w="1950"/>
            <w:vAlign w:val="center"/>
          </w:tcPr>
          <w:p>
            <w:pPr>
              <w:pStyle w:val="TableBody"/>
              <w:spacing w:before="0" w:after="0" w:line="252" w:lineRule="auto"/>
              <w:jc w:val="left"/>
            </w:pPr>
            <w:r>
              <w:rPr>
                <w:rFonts w:ascii="Calibri" w:hAnsi="Calibri" w:eastAsia="Calibri"/>
                <w:b w:val="0"/>
                <w:color w:val="111827"/>
                <w:sz w:val="14"/>
              </w:rPr>
              <w:t>Noninheritance chain remained practical</w:t>
            </w:r>
          </w:p>
        </w:tc>
        <w:tc>
          <w:tcPr>
            <w:tcW w:type="dxa" w:w="3280"/>
            <w:vAlign w:val="center"/>
          </w:tcPr>
          <w:p>
            <w:pPr>
              <w:pStyle w:val="TableBody"/>
              <w:spacing w:before="0" w:after="0" w:line="252" w:lineRule="auto"/>
              <w:jc w:val="left"/>
            </w:pPr>
            <w:r>
              <w:rPr>
                <w:rFonts w:ascii="Calibri" w:hAnsi="Calibri" w:eastAsia="Calibri"/>
                <w:b w:val="0"/>
                <w:color w:val="111827"/>
                <w:sz w:val="14"/>
              </w:rPr>
              <w:t>An older architecture cleanly separated the support chain without granting automatic inheritance between stages.</w:t>
            </w:r>
          </w:p>
        </w:tc>
        <w:tc>
          <w:tcPr>
            <w:tcW w:type="dxa" w:w="3280"/>
            <w:vAlign w:val="center"/>
          </w:tcPr>
          <w:p>
            <w:pPr>
              <w:pStyle w:val="TableBody"/>
              <w:spacing w:before="0" w:after="0" w:line="252" w:lineRule="auto"/>
              <w:jc w:val="left"/>
            </w:pPr>
            <w:r>
              <w:rPr>
                <w:rFonts w:ascii="Calibri" w:hAnsi="Calibri" w:eastAsia="Calibri"/>
                <w:b w:val="0"/>
                <w:color w:val="111827"/>
                <w:sz w:val="14"/>
              </w:rPr>
              <w:t>Preserve the separations, but generate only stages relevant to the requested return rather than forcing a universal pipeline.</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AN-025</w:t>
            </w:r>
          </w:p>
        </w:tc>
        <w:tc>
          <w:tcPr>
            <w:tcW w:type="dxa" w:w="1950"/>
            <w:vAlign w:val="center"/>
          </w:tcPr>
          <w:p>
            <w:pPr>
              <w:pStyle w:val="TableBody"/>
              <w:spacing w:before="0" w:after="0" w:line="252" w:lineRule="auto"/>
              <w:jc w:val="left"/>
            </w:pPr>
            <w:r>
              <w:rPr>
                <w:rFonts w:ascii="Calibri" w:hAnsi="Calibri" w:eastAsia="Calibri"/>
                <w:b w:val="0"/>
                <w:color w:val="111827"/>
                <w:sz w:val="14"/>
              </w:rPr>
              <w:t>Derived views should be disposable and dormant</w:t>
            </w:r>
          </w:p>
        </w:tc>
        <w:tc>
          <w:tcPr>
            <w:tcW w:type="dxa" w:w="3280"/>
            <w:vAlign w:val="center"/>
          </w:tcPr>
          <w:p>
            <w:pPr>
              <w:pStyle w:val="TableBody"/>
              <w:spacing w:before="0" w:after="0" w:line="252" w:lineRule="auto"/>
              <w:jc w:val="left"/>
            </w:pPr>
            <w:r>
              <w:rPr>
                <w:rFonts w:ascii="Calibri" w:hAnsi="Calibri" w:eastAsia="Calibri"/>
                <w:b w:val="0"/>
                <w:color w:val="111827"/>
                <w:sz w:val="14"/>
              </w:rPr>
              <w:t>A mature build required generated views to have no editable authority, never outlive source keys, and remain dormant when they could not change a return.</w:t>
            </w:r>
          </w:p>
        </w:tc>
        <w:tc>
          <w:tcPr>
            <w:tcW w:type="dxa" w:w="3280"/>
            <w:vAlign w:val="center"/>
          </w:tcPr>
          <w:p>
            <w:pPr>
              <w:pStyle w:val="TableBody"/>
              <w:spacing w:before="0" w:after="0" w:line="252" w:lineRule="auto"/>
              <w:jc w:val="left"/>
            </w:pPr>
            <w:r>
              <w:rPr>
                <w:rFonts w:ascii="Calibri" w:hAnsi="Calibri" w:eastAsia="Calibri"/>
                <w:b w:val="0"/>
                <w:color w:val="111827"/>
                <w:sz w:val="14"/>
              </w:rPr>
              <w:t>Keep detailed topology code-generated and disposable; readable and normative sources retain only earning, activation, and boundary rules.</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AN-026</w:t>
            </w:r>
          </w:p>
        </w:tc>
        <w:tc>
          <w:tcPr>
            <w:tcW w:type="dxa" w:w="1950"/>
            <w:vAlign w:val="center"/>
          </w:tcPr>
          <w:p>
            <w:pPr>
              <w:pStyle w:val="TableBody"/>
              <w:spacing w:before="0" w:after="0" w:line="252" w:lineRule="auto"/>
              <w:jc w:val="left"/>
            </w:pPr>
            <w:r>
              <w:rPr>
                <w:rFonts w:ascii="Calibri" w:hAnsi="Calibri" w:eastAsia="Calibri"/>
                <w:b w:val="0"/>
                <w:color w:val="111827"/>
                <w:sz w:val="14"/>
              </w:rPr>
              <w:t>A large graph still missed constitutional reachability</w:t>
            </w:r>
          </w:p>
        </w:tc>
        <w:tc>
          <w:tcPr>
            <w:tcW w:type="dxa" w:w="3280"/>
            <w:vAlign w:val="center"/>
          </w:tcPr>
          <w:p>
            <w:pPr>
              <w:pStyle w:val="TableBody"/>
              <w:spacing w:before="0" w:after="0" w:line="252" w:lineRule="auto"/>
              <w:jc w:val="left"/>
            </w:pPr>
            <w:r>
              <w:rPr>
                <w:rFonts w:ascii="Calibri" w:hAnsi="Calibri" w:eastAsia="Calibri"/>
                <w:b w:val="0"/>
                <w:color w:val="111827"/>
                <w:sz w:val="14"/>
              </w:rPr>
              <w:t>One release candidate carried 342 nodes, 416 edge records, and 34,460 tests yet still had two constitutional reachability failures.</w:t>
            </w:r>
          </w:p>
        </w:tc>
        <w:tc>
          <w:tcPr>
            <w:tcW w:type="dxa" w:w="3280"/>
            <w:vAlign w:val="center"/>
          </w:tcPr>
          <w:p>
            <w:pPr>
              <w:pStyle w:val="TableBody"/>
              <w:spacing w:before="0" w:after="0" w:line="252" w:lineRule="auto"/>
              <w:jc w:val="left"/>
            </w:pPr>
            <w:r>
              <w:rPr>
                <w:rFonts w:ascii="Calibri" w:hAnsi="Calibri" w:eastAsia="Calibri"/>
                <w:b w:val="0"/>
                <w:color w:val="111827"/>
                <w:sz w:val="14"/>
              </w:rPr>
              <w:t>Test addressable closure and actual run paths directly; node, edge, and test counts do not establish that the architecture can reach what it claims to contain.</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AN-027</w:t>
            </w:r>
          </w:p>
        </w:tc>
        <w:tc>
          <w:tcPr>
            <w:tcW w:type="dxa" w:w="1950"/>
            <w:vAlign w:val="center"/>
          </w:tcPr>
          <w:p>
            <w:pPr>
              <w:pStyle w:val="TableBody"/>
              <w:spacing w:before="0" w:after="0" w:line="252" w:lineRule="auto"/>
              <w:jc w:val="left"/>
            </w:pPr>
            <w:r>
              <w:rPr>
                <w:rFonts w:ascii="Calibri" w:hAnsi="Calibri" w:eastAsia="Calibri"/>
                <w:b w:val="0"/>
                <w:color w:val="111827"/>
                <w:sz w:val="14"/>
              </w:rPr>
              <w:t>The polished carrier was the wrong machine</w:t>
            </w:r>
          </w:p>
        </w:tc>
        <w:tc>
          <w:tcPr>
            <w:tcW w:type="dxa" w:w="3280"/>
            <w:vAlign w:val="center"/>
          </w:tcPr>
          <w:p>
            <w:pPr>
              <w:pStyle w:val="TableBody"/>
              <w:spacing w:before="0" w:after="0" w:line="252" w:lineRule="auto"/>
              <w:jc w:val="left"/>
            </w:pPr>
            <w:r>
              <w:rPr>
                <w:rFonts w:ascii="Calibri" w:hAnsi="Calibri" w:eastAsia="Calibri"/>
                <w:b w:val="0"/>
                <w:color w:val="111827"/>
                <w:sz w:val="14"/>
              </w:rPr>
              <w:t>A polished workbook package was rejected because the project had already decided on an executable Python runtime, JSON schemas, one authoritative machine source, and workbooks only as generated views.</w:t>
            </w:r>
          </w:p>
        </w:tc>
        <w:tc>
          <w:tcPr>
            <w:tcW w:type="dxa" w:w="3280"/>
            <w:vAlign w:val="center"/>
          </w:tcPr>
          <w:p>
            <w:pPr>
              <w:pStyle w:val="TableBody"/>
              <w:spacing w:before="0" w:after="0" w:line="252" w:lineRule="auto"/>
              <w:jc w:val="left"/>
            </w:pPr>
            <w:r>
              <w:rPr>
                <w:rFonts w:ascii="Calibri" w:hAnsi="Calibri" w:eastAsia="Calibri"/>
                <w:b w:val="0"/>
                <w:color w:val="111827"/>
                <w:sz w:val="14"/>
              </w:rPr>
              <w:t>Keep spec/system.json as sole normative source and the runtime as executable carrier; spreadsheets and readable views never become the machine by polish or convenience.</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AN-028</w:t>
            </w:r>
          </w:p>
        </w:tc>
        <w:tc>
          <w:tcPr>
            <w:tcW w:type="dxa" w:w="1950"/>
            <w:vAlign w:val="center"/>
          </w:tcPr>
          <w:p>
            <w:pPr>
              <w:pStyle w:val="TableBody"/>
              <w:spacing w:before="0" w:after="0" w:line="252" w:lineRule="auto"/>
              <w:jc w:val="left"/>
            </w:pPr>
            <w:r>
              <w:rPr>
                <w:rFonts w:ascii="Calibri" w:hAnsi="Calibri" w:eastAsia="Calibri"/>
                <w:b w:val="0"/>
                <w:color w:val="111827"/>
                <w:sz w:val="14"/>
              </w:rPr>
              <w:t>A fabricated experiment contaminated the lineage</w:t>
            </w:r>
          </w:p>
        </w:tc>
        <w:tc>
          <w:tcPr>
            <w:tcW w:type="dxa" w:w="3280"/>
            <w:vAlign w:val="center"/>
          </w:tcPr>
          <w:p>
            <w:pPr>
              <w:pStyle w:val="TableBody"/>
              <w:spacing w:before="0" w:after="0" w:line="252" w:lineRule="auto"/>
              <w:jc w:val="left"/>
            </w:pPr>
            <w:r>
              <w:rPr>
                <w:rFonts w:ascii="Calibri" w:hAnsi="Calibri" w:eastAsia="Calibri"/>
                <w:b w:val="0"/>
                <w:color w:val="111827"/>
                <w:sz w:val="14"/>
              </w:rPr>
              <w:t>A prior handoff explicitly warns that a claimed 2,880-pair experiment was fabricated and must never recur.</w:t>
            </w:r>
          </w:p>
        </w:tc>
        <w:tc>
          <w:tcPr>
            <w:tcW w:type="dxa" w:w="3280"/>
            <w:vAlign w:val="center"/>
          </w:tcPr>
          <w:p>
            <w:pPr>
              <w:pStyle w:val="TableBody"/>
              <w:spacing w:before="0" w:after="0" w:line="252" w:lineRule="auto"/>
              <w:jc w:val="left"/>
            </w:pPr>
            <w:r>
              <w:rPr>
                <w:rFonts w:ascii="Calibri" w:hAnsi="Calibri" w:eastAsia="Calibri"/>
                <w:b w:val="0"/>
                <w:color w:val="111827"/>
                <w:sz w:val="14"/>
              </w:rPr>
              <w:t>Every statistic and experiment claim must ship with reproducible data, code, exact method, and evidence class; otherwise report NOT_RUN or OPEN.</w:t>
            </w:r>
          </w:p>
        </w:tc>
      </w:tr>
      <w:tr>
        <w:trPr>
          <w:cantSplit w:val="true"/>
        </w:trPr>
        <w:tc>
          <w:tcPr>
            <w:tcW w:type="dxa" w:w="850"/>
            <w:vAlign w:val="center"/>
          </w:tcPr>
          <w:p>
            <w:pPr>
              <w:pStyle w:val="TableBody"/>
              <w:spacing w:before="0" w:after="0" w:line="252" w:lineRule="auto"/>
              <w:jc w:val="left"/>
            </w:pPr>
            <w:r>
              <w:rPr>
                <w:rFonts w:ascii="Calibri" w:hAnsi="Calibri" w:eastAsia="Calibri"/>
                <w:b w:val="0"/>
                <w:color w:val="111827"/>
                <w:sz w:val="14"/>
              </w:rPr>
              <w:t>AN-029</w:t>
            </w:r>
          </w:p>
        </w:tc>
        <w:tc>
          <w:tcPr>
            <w:tcW w:type="dxa" w:w="1950"/>
            <w:vAlign w:val="center"/>
          </w:tcPr>
          <w:p>
            <w:pPr>
              <w:pStyle w:val="TableBody"/>
              <w:spacing w:before="0" w:after="0" w:line="252" w:lineRule="auto"/>
              <w:jc w:val="left"/>
            </w:pPr>
            <w:r>
              <w:rPr>
                <w:rFonts w:ascii="Calibri" w:hAnsi="Calibri" w:eastAsia="Calibri"/>
                <w:b w:val="0"/>
                <w:color w:val="111827"/>
                <w:sz w:val="14"/>
              </w:rPr>
              <w:t>Complete internal passes still did not justify promotion</w:t>
            </w:r>
          </w:p>
        </w:tc>
        <w:tc>
          <w:tcPr>
            <w:tcW w:type="dxa" w:w="3280"/>
            <w:vAlign w:val="center"/>
          </w:tcPr>
          <w:p>
            <w:pPr>
              <w:pStyle w:val="TableBody"/>
              <w:spacing w:before="0" w:after="0" w:line="252" w:lineRule="auto"/>
              <w:jc w:val="left"/>
            </w:pPr>
            <w:r>
              <w:rPr>
                <w:rFonts w:ascii="Calibri" w:hAnsi="Calibri" w:eastAsia="Calibri"/>
                <w:b w:val="0"/>
                <w:color w:val="111827"/>
                <w:sz w:val="14"/>
              </w:rPr>
              <w:t>Candidates reported 708/708 and 1,426/1,426 internal passes while independent implementation, sealed real-task comparison, long-use evidence, and external domain validity remained open.</w:t>
            </w:r>
          </w:p>
        </w:tc>
        <w:tc>
          <w:tcPr>
            <w:tcW w:type="dxa" w:w="3280"/>
            <w:vAlign w:val="center"/>
          </w:tcPr>
          <w:p>
            <w:pPr>
              <w:pStyle w:val="TableBody"/>
              <w:spacing w:before="0" w:after="0" w:line="252" w:lineRule="auto"/>
              <w:jc w:val="left"/>
            </w:pPr>
            <w:r>
              <w:rPr>
                <w:rFonts w:ascii="Calibri" w:hAnsi="Calibri" w:eastAsia="Calibri"/>
                <w:b w:val="0"/>
                <w:color w:val="111827"/>
                <w:sz w:val="14"/>
              </w:rPr>
              <w:t>Separate structural closure from empirical validation and release promotion; internal PASS changes only the named conformance standing.</w:t>
            </w:r>
          </w:p>
        </w:tc>
      </w:tr>
    </w:tbl>
    <w:p>
      <w:pPr>
        <w:spacing w:after="0"/>
      </w:pPr>
    </w:p>
    <w:p>
      <w:pPr>
        <w:pStyle w:val="Heading1"/>
      </w:pPr>
      <w:r>
        <w:t>17  Morning operator card</w:t>
      </w:r>
    </w:p>
    <w:p>
      <w:pPr>
        <w:pStyle w:val="Kicker"/>
        <w:keepNext/>
      </w:pPr>
      <w:r>
        <w:rPr>
          <w:rFonts w:ascii="Calibri" w:hAnsi="Calibri" w:eastAsia="Calibri"/>
          <w:color w:val="667085"/>
        </w:rPr>
        <w:t>The smallest useful way to run Architecture+ 0.1.</w:t>
      </w:r>
    </w:p>
    <w:p>
      <w:pPr>
        <w:pStyle w:val="Heading2"/>
      </w:pPr>
      <w:r>
        <w:rPr>
          <w:rFonts w:ascii="Calibri" w:hAnsi="Calibri" w:eastAsia="Calibri"/>
        </w:rPr>
        <w:t>A. Target</w:t>
      </w:r>
    </w:p>
    <w:p>
      <w:pPr>
        <w:pStyle w:val="ListBullet"/>
      </w:pPr>
      <w:r>
        <w:rPr>
          <w:rFonts w:ascii="Calibri" w:hAnsi="Calibri" w:eastAsia="Calibri"/>
        </w:rPr>
        <w:t>What exact Return components are requested?</w:t>
      </w:r>
    </w:p>
    <w:p>
      <w:pPr>
        <w:pStyle w:val="ListBullet"/>
      </w:pPr>
      <w:r>
        <w:rPr>
          <w:rFonts w:ascii="Calibri" w:hAnsi="Calibri" w:eastAsia="Calibri"/>
        </w:rPr>
        <w:t>For what use, horizon, and required Standing?</w:t>
      </w:r>
    </w:p>
    <w:p>
      <w:pPr>
        <w:pStyle w:val="ListBullet"/>
      </w:pPr>
      <w:r>
        <w:rPr>
          <w:rFonts w:ascii="Calibri" w:hAnsi="Calibri" w:eastAsia="Calibri"/>
        </w:rPr>
        <w:t>What conditions may not be silently traded away?</w:t>
      </w:r>
    </w:p>
    <w:p>
      <w:pPr>
        <w:pStyle w:val="ListBullet"/>
      </w:pPr>
      <w:r>
        <w:rPr>
          <w:rFonts w:ascii="Calibri" w:hAnsi="Calibri" w:eastAsia="Calibri"/>
        </w:rPr>
        <w:t>What Basis, authority, tools, cost, risk, and time actually exist?</w:t>
      </w:r>
    </w:p>
    <w:p>
      <w:pPr>
        <w:pStyle w:val="Heading2"/>
      </w:pPr>
      <w:r>
        <w:rPr>
          <w:rFonts w:ascii="Calibri" w:hAnsi="Calibri" w:eastAsia="Calibri"/>
        </w:rPr>
        <w:t>B. Form freely and freeze</w:t>
      </w:r>
    </w:p>
    <w:p>
      <w:pPr>
        <w:pStyle w:val="ListBullet"/>
      </w:pPr>
      <w:r>
        <w:rPr>
          <w:rFonts w:ascii="Calibri" w:hAnsi="Calibri" w:eastAsia="Calibri"/>
        </w:rPr>
        <w:t>Create P0 from the raw request and supplied Basis without Architecture+ vocabulary.</w:t>
      </w:r>
    </w:p>
    <w:p>
      <w:pPr>
        <w:pStyle w:val="ListBullet"/>
      </w:pPr>
      <w:r>
        <w:rPr>
          <w:rFonts w:ascii="Calibri" w:hAnsi="Calibri" w:eastAsia="Calibri"/>
        </w:rPr>
        <w:t>Fingerprint the raw request, exposed Basis, constraints, tools, requested form, agent identity if known, and P0.</w:t>
      </w:r>
    </w:p>
    <w:p>
      <w:pPr>
        <w:pStyle w:val="Heading2"/>
      </w:pPr>
      <w:r>
        <w:rPr>
          <w:rFonts w:ascii="Calibri" w:hAnsi="Calibri" w:eastAsia="Calibri"/>
        </w:rPr>
        <w:t>C. Sweep both ways</w:t>
      </w:r>
    </w:p>
    <w:p>
      <w:pPr>
        <w:pStyle w:val="ListBullet"/>
      </w:pPr>
      <w:r>
        <w:rPr>
          <w:rFonts w:ascii="Calibri" w:hAnsi="Calibri" w:eastAsia="Calibri"/>
        </w:rPr>
        <w:t>Backward: Return → obligations → needed claims/evidence/authority/resources/actions → first unsupported predecessor.</w:t>
      </w:r>
    </w:p>
    <w:p>
      <w:pPr>
        <w:pStyle w:val="ListBullet"/>
      </w:pPr>
      <w:r>
        <w:rPr>
          <w:rFonts w:ascii="Calibri" w:hAnsi="Calibri" w:eastAsia="Calibri"/>
        </w:rPr>
        <w:t>Forward: Basis/anomalies/constraints → warranted moves → supported successors and consequences.</w:t>
      </w:r>
    </w:p>
    <w:p>
      <w:pPr>
        <w:pStyle w:val="ListBullet"/>
      </w:pPr>
      <w:r>
        <w:rPr>
          <w:rFonts w:ascii="Calibri" w:hAnsi="Calibri" w:eastAsia="Calibri"/>
        </w:rPr>
        <w:t>Freeze both; compare. Agreement is not proof. Disagreement nominates a Hinge.</w:t>
      </w:r>
    </w:p>
    <w:p>
      <w:pPr>
        <w:pStyle w:val="ListBullet"/>
      </w:pPr>
      <w:r>
        <w:rPr>
          <w:rFonts w:ascii="Calibri" w:hAnsi="Calibri" w:eastAsia="Calibri"/>
        </w:rPr>
        <w:t>Run one bounded outside-field Scout before final narrowing or stopping.</w:t>
      </w:r>
    </w:p>
    <w:p>
      <w:pPr>
        <w:pStyle w:val="Heading2"/>
      </w:pPr>
      <w:r>
        <w:rPr>
          <w:rFonts w:ascii="Calibri" w:hAnsi="Calibri" w:eastAsia="Calibri"/>
        </w:rPr>
        <w:t>D. Work the live Hinges</w:t>
      </w:r>
    </w:p>
    <w:p>
      <w:pPr>
        <w:pStyle w:val="ListBullet"/>
      </w:pPr>
      <w:r>
        <w:rPr>
          <w:rFonts w:ascii="Calibri" w:hAnsi="Calibri" w:eastAsia="Calibri"/>
        </w:rPr>
        <w:t>Name candidate, nearest rival, changed Return field, consequence split, discriminator, cost, risk, status, expiry.</w:t>
      </w:r>
    </w:p>
    <w:p>
      <w:pPr>
        <w:pStyle w:val="ListBullet"/>
      </w:pPr>
      <w:r>
        <w:rPr>
          <w:rFonts w:ascii="Calibri" w:hAnsi="Calibri" w:eastAsia="Calibri"/>
        </w:rPr>
        <w:t>Invert or delete it. If no declared field changes, discard it.</w:t>
      </w:r>
    </w:p>
    <w:p>
      <w:pPr>
        <w:pStyle w:val="ListBullet"/>
      </w:pPr>
      <w:r>
        <w:rPr>
          <w:rFonts w:ascii="Calibri" w:hAnsi="Calibri" w:eastAsia="Calibri"/>
        </w:rPr>
        <w:t>Select the cheapest admissible Move likely to change the material field. Challenge the challenge once.</w:t>
      </w:r>
    </w:p>
    <w:p>
      <w:pPr>
        <w:pStyle w:val="ListBullet"/>
      </w:pPr>
      <w:r>
        <w:rPr>
          <w:rFonts w:ascii="Calibri" w:hAnsi="Calibri" w:eastAsia="Calibri"/>
        </w:rPr>
        <w:t>Invoke a Passage Model only when changing possibility/consequence matters; otherwise use other theory or none.</w:t>
      </w:r>
    </w:p>
    <w:p>
      <w:pPr>
        <w:pStyle w:val="Heading2"/>
      </w:pPr>
      <w:r>
        <w:rPr>
          <w:rFonts w:ascii="Calibri" w:hAnsi="Calibri" w:eastAsia="Calibri"/>
        </w:rPr>
        <w:t>E. Thin, Seal, Return</w:t>
      </w:r>
    </w:p>
    <w:p>
      <w:pPr>
        <w:pStyle w:val="ListBullet"/>
      </w:pPr>
      <w:r>
        <w:rPr>
          <w:rFonts w:ascii="Calibri" w:hAnsi="Calibri" w:eastAsia="Calibri"/>
        </w:rPr>
        <w:t>Remove structure without witnessed delta. Factor shared policy once. Keep detailed views disposable.</w:t>
      </w:r>
    </w:p>
    <w:p>
      <w:pPr>
        <w:pStyle w:val="ListBullet"/>
      </w:pPr>
      <w:r>
        <w:rPr>
          <w:rFonts w:ascii="Calibri" w:hAnsi="Calibri" w:eastAsia="Calibri"/>
        </w:rPr>
        <w:t>The executable reference can seal a represented REQUEST_EXECUTION intent; it does not produce or validate a contract-complete adapter request and contains no execution adapter. External action requires a separately qualified and permitted domain adapter.</w:t>
      </w:r>
    </w:p>
    <w:p>
      <w:pPr>
        <w:pStyle w:val="ListBullet"/>
      </w:pPr>
      <w:r>
        <w:rPr>
          <w:rFonts w:ascii="Calibri" w:hAnsi="Calibri" w:eastAsia="Calibri"/>
        </w:rPr>
        <w:t>For every Return component preserve the native answer, support outcome, domain disposition, completion, trace, assumptions, ceiling, residual, and reentry.</w:t>
      </w:r>
    </w:p>
    <w:p>
      <w:pPr>
        <w:pStyle w:val="ListBullet"/>
      </w:pPr>
      <w:r>
        <w:rPr>
          <w:rFonts w:ascii="Calibri" w:hAnsi="Calibri" w:eastAsia="Calibri"/>
        </w:rPr>
        <w:t>If OPEN, name the first exact break, strongest supported remainder, needed material, affected scope, live obligations, and earliest useful reentry.</w:t>
      </w:r>
    </w:p>
    <w:p>
      <w:pPr>
        <w:pStyle w:val="Heading2"/>
      </w:pPr>
      <w:r>
        <w:rPr>
          <w:rFonts w:ascii="Calibri" w:hAnsi="Calibri" w:eastAsia="Calibri"/>
        </w:rPr>
        <w:t>F. Learn only from admitted consequence</w:t>
      </w:r>
    </w:p>
    <w:p>
      <w:pPr>
        <w:pStyle w:val="ListBullet"/>
      </w:pPr>
      <w:r>
        <w:rPr>
          <w:rFonts w:ascii="Calibri" w:hAnsi="Calibri" w:eastAsia="Calibri"/>
        </w:rPr>
        <w:t>Keep recommendation, choice, permission, attempt, execution, occurrence, observation, evaluation, attribution, effect, and durability separate.</w:t>
      </w:r>
    </w:p>
    <w:p>
      <w:pPr>
        <w:pStyle w:val="ListBullet"/>
      </w:pPr>
      <w:r>
        <w:rPr>
          <w:rFonts w:ascii="Calibri" w:hAnsi="Calibri" w:eastAsia="Calibri"/>
        </w:rPr>
        <w:t>Reopen only dependency-reachable Return components. Selective Outcome-stage reopening is OPEN in 0.1. Supply a complete child RunSpec that maps every changed reference to new Basis material; validate it before recording Reentry and never rewrite the prior prefix.</w:t>
      </w:r>
    </w:p>
    <w:p>
      <w:pPr>
        <w:pStyle w:val="ListBullet"/>
      </w:pPr>
      <w:r>
        <w:rPr>
          <w:rFonts w:ascii="Calibri" w:hAnsi="Calibri" w:eastAsia="Calibri"/>
        </w:rPr>
        <w:t>Lease a mechanism only for its witnessed scope. Expire or reopen it when its Basis, cost, model, or outcome changes.</w:t>
      </w:r>
    </w:p>
    <w:tbl>
      <w:tblPr>
        <w:tblW w:type="dxa" w:w="9360"/>
        <w:tblLayout w:type="fixed"/>
        <w:tblLook w:firstColumn="1" w:firstRow="1" w:lastColumn="0" w:lastRow="0" w:noHBand="0" w:noVBand="1" w:val="04A0"/>
        <w:tblInd w:w="120" w:type="dxa"/>
        <w:tblBorders>
          <w:top w:val="single" w:sz="0" w:space="0" w:color="E8EEF5"/>
          <w:left w:val="single" w:sz="0" w:space="0" w:color="E8EEF5"/>
          <w:bottom w:val="single" w:sz="0" w:space="0" w:color="E8EEF5"/>
          <w:right w:val="single" w:sz="0" w:space="0" w:color="E8EEF5"/>
          <w:insideH w:val="single" w:sz="0" w:space="0" w:color="E8EEF5"/>
          <w:insideV w:val="single" w:sz="0" w:space="0" w:color="E8EEF5"/>
        </w:tblBorders>
      </w:tblPr>
      <w:tblGrid>
        <w:gridCol w:w="9360"/>
      </w:tblGrid>
      <w:tr>
        <w:trPr>
          <w:trHeight w:hRule="atLeast"/>
          <w:cantSplit w:val="true"/>
          <w:tblHeader w:val="true"/>
        </w:trPr>
        <w:tc>
          <w:tcPr>
            <w:tcW w:type="dxa" w:w="9360"/>
            <w:tcMar>
              <w:top w:w="80" w:type="dxa"/>
              <w:start w:w="120" w:type="dxa"/>
              <w:bottom w:w="80" w:type="dxa"/>
              <w:end w:w="120" w:type="dxa"/>
            </w:tcMar>
            <w:shd w:fill="E8EEF5" w:val="clear"/>
          </w:tcPr>
          <w:p>
            <w:pPr>
              <w:spacing w:before="20" w:after="20" w:line="276" w:lineRule="auto"/>
            </w:pPr>
            <w:r>
              <w:rPr>
                <w:rFonts w:ascii="Calibri" w:hAnsi="Calibri" w:eastAsia="Calibri"/>
                <w:b/>
                <w:color w:val="2E74B5"/>
                <w:sz w:val="17"/>
              </w:rPr>
              <w:t xml:space="preserve">STOP  </w:t>
            </w:r>
            <w:r>
              <w:rPr>
                <w:rFonts w:ascii="Calibri" w:hAnsi="Calibri" w:eastAsia="Calibri"/>
                <w:color w:val="0B2545"/>
                <w:sz w:val="20"/>
              </w:rPr>
              <w:t>Every mandatory Return is EARNED to its declared local regime or exact OPEN; every authoritative component reverse-traces; no affordable admissible Move plausibly changes it; one missing-frame Scout has run; any action remains a represented intent until an external authority and adapter qualify it.</w:t>
            </w:r>
          </w:p>
        </w:tc>
      </w:tr>
    </w:tbl>
    <w:p>
      <w:pPr>
        <w:spacing w:after="0"/>
      </w:pPr>
    </w:p>
    <w:p>
      <w:pPr>
        <w:pStyle w:val="Heading1"/>
      </w:pPr>
      <w:r>
        <w:t>18  Open frontiers and source map</w:t>
      </w:r>
    </w:p>
    <w:p>
      <w:pPr>
        <w:pStyle w:val="Kicker"/>
        <w:keepNext/>
      </w:pPr>
      <w:r>
        <w:rPr>
          <w:rFonts w:ascii="Calibri" w:hAnsi="Calibri" w:eastAsia="Calibri"/>
          <w:color w:val="667085"/>
        </w:rPr>
        <w:t>What 0.1 exposes instead of pretending to have solved.</w:t>
      </w:r>
    </w:p>
    <w:p>
      <w:pPr>
        <w:pStyle w:val="Heading2"/>
      </w:pPr>
      <w:r>
        <w:rPr>
          <w:rFonts w:ascii="Calibri" w:hAnsi="Calibri" w:eastAsia="Calibri"/>
        </w:rPr>
        <w:t>Open frontiers</w:t>
      </w:r>
    </w:p>
    <w:p>
      <w:pPr>
        <w:pStyle w:val="ListBullet"/>
      </w:pPr>
      <w:r>
        <w:rPr>
          <w:rFonts w:ascii="Calibri" w:hAnsi="Calibri" w:eastAsia="Calibri"/>
        </w:rPr>
        <w:t>external value over strong plain prompting at matched total budget</w:t>
      </w:r>
    </w:p>
    <w:p>
      <w:pPr>
        <w:pStyle w:val="ListBullet"/>
      </w:pPr>
      <w:r>
        <w:rPr>
          <w:rFonts w:ascii="Calibri" w:hAnsi="Calibri" w:eastAsia="Calibri"/>
        </w:rPr>
        <w:t>empirical adequacy of local Passage Models</w:t>
      </w:r>
    </w:p>
    <w:p>
      <w:pPr>
        <w:pStyle w:val="ListBullet"/>
      </w:pPr>
      <w:r>
        <w:rPr>
          <w:rFonts w:ascii="Calibri" w:hAnsi="Calibri" w:eastAsia="Calibri"/>
        </w:rPr>
        <w:t>cross-configuration Passage identity and correspondence</w:t>
      </w:r>
    </w:p>
    <w:p>
      <w:pPr>
        <w:pStyle w:val="ListBullet"/>
      </w:pPr>
      <w:r>
        <w:rPr>
          <w:rFonts w:ascii="Calibri" w:hAnsi="Calibri" w:eastAsia="Calibri"/>
        </w:rPr>
        <w:t>causal resource classification</w:t>
      </w:r>
    </w:p>
    <w:p>
      <w:pPr>
        <w:pStyle w:val="ListBullet"/>
      </w:pPr>
      <w:r>
        <w:rPr>
          <w:rFonts w:ascii="Calibri" w:hAnsi="Calibri" w:eastAsia="Calibri"/>
        </w:rPr>
        <w:t>formation-capacity measurement</w:t>
      </w:r>
    </w:p>
    <w:p>
      <w:pPr>
        <w:pStyle w:val="ListBullet"/>
      </w:pPr>
      <w:r>
        <w:rPr>
          <w:rFonts w:ascii="Calibri" w:hAnsi="Calibri" w:eastAsia="Calibri"/>
        </w:rPr>
        <w:t>adaptive selector recall outside the existing vocabulary</w:t>
      </w:r>
    </w:p>
    <w:p>
      <w:pPr>
        <w:pStyle w:val="ListBullet"/>
      </w:pPr>
      <w:r>
        <w:rPr>
          <w:rFonts w:ascii="Calibri" w:hAnsi="Calibri" w:eastAsia="Calibri"/>
        </w:rPr>
        <w:t>long-horizon consequence attribution and durability</w:t>
      </w:r>
    </w:p>
    <w:p>
      <w:pPr>
        <w:pStyle w:val="ListBullet"/>
      </w:pPr>
      <w:r>
        <w:rPr>
          <w:rFonts w:ascii="Calibri" w:hAnsi="Calibri" w:eastAsia="Calibri"/>
        </w:rPr>
        <w:t>branching, fan-in, fan-out, cycles, and nested Passage</w:t>
      </w:r>
    </w:p>
    <w:p>
      <w:pPr>
        <w:pStyle w:val="ListBullet"/>
      </w:pPr>
      <w:r>
        <w:rPr>
          <w:rFonts w:ascii="Calibri" w:hAnsi="Calibri" w:eastAsia="Calibri"/>
        </w:rPr>
        <w:t>true independence across models, agents, and evidence lineages</w:t>
      </w:r>
    </w:p>
    <w:p>
      <w:pPr>
        <w:pStyle w:val="ListBullet"/>
      </w:pPr>
      <w:r>
        <w:rPr>
          <w:rFonts w:ascii="Calibri" w:hAnsi="Calibri" w:eastAsia="Calibri"/>
        </w:rPr>
        <w:t>multilingual exactness</w:t>
      </w:r>
    </w:p>
    <w:p>
      <w:pPr>
        <w:pStyle w:val="ListBullet"/>
      </w:pPr>
      <w:r>
        <w:rPr>
          <w:rFonts w:ascii="Calibri" w:hAnsi="Calibri" w:eastAsia="Calibri"/>
        </w:rPr>
        <w:t>security, authenticity, legitimacy, and external authority</w:t>
      </w:r>
    </w:p>
    <w:p>
      <w:pPr>
        <w:pStyle w:val="ListBullet"/>
      </w:pPr>
      <w:r>
        <w:rPr>
          <w:rFonts w:ascii="Calibri" w:hAnsi="Calibri" w:eastAsia="Calibri"/>
        </w:rPr>
        <w:t>scale and cross-runtime interoperability</w:t>
      </w:r>
    </w:p>
    <w:p>
      <w:pPr>
        <w:pStyle w:val="Heading2"/>
      </w:pPr>
      <w:r>
        <w:rPr>
          <w:rFonts w:ascii="Calibri" w:hAnsi="Calibri" w:eastAsia="Calibri"/>
        </w:rPr>
        <w:t>Primary donor lineage</w:t>
      </w:r>
    </w:p>
    <w:p>
      <w:pPr>
        <w:pStyle w:val="ListBullet"/>
      </w:pPr>
      <w:r>
        <w:rPr>
          <w:rFonts w:ascii="Calibri" w:hAnsi="Calibri" w:eastAsia="Calibri"/>
        </w:rPr>
        <w:t>Architecture Foundry v0.2 Rebuilt: small-loop instinct and removal witness</w:t>
      </w:r>
    </w:p>
    <w:p>
      <w:pPr>
        <w:pStyle w:val="ListBullet"/>
      </w:pPr>
      <w:r>
        <w:rPr>
          <w:rFonts w:ascii="Calibri" w:hAnsi="Calibri" w:eastAsia="Calibri"/>
        </w:rPr>
        <w:t>Contextual Rebinding Architecture 2.1 and v1.2: local earning, exact OPEN, crossing accounts, live frontiers, Q-squared, and selective reassessment</w:t>
      </w:r>
    </w:p>
    <w:p>
      <w:pPr>
        <w:pStyle w:val="ListBullet"/>
      </w:pPr>
      <w:r>
        <w:rPr>
          <w:rFonts w:ascii="Calibri" w:hAnsi="Calibri" w:eastAsia="Calibri"/>
        </w:rPr>
        <w:t>Directional Systems Theory v2.2: Passage, capacity, resource, burden, successor, and regeneration distinctions</w:t>
      </w:r>
    </w:p>
    <w:p>
      <w:pPr>
        <w:pStyle w:val="ListBullet"/>
      </w:pPr>
      <w:r>
        <w:rPr>
          <w:rFonts w:ascii="Calibri" w:hAnsi="Calibri" w:eastAsia="Calibri"/>
        </w:rPr>
        <w:t>Architecture+ v0.5: derived-view discipline, evidence ceilings, and volume anomaly</w:t>
      </w:r>
    </w:p>
    <w:p>
      <w:pPr>
        <w:pStyle w:val="ListBullet"/>
      </w:pPr>
      <w:r>
        <w:rPr>
          <w:rFonts w:ascii="Calibri" w:hAnsi="Calibri" w:eastAsia="Calibri"/>
        </w:rPr>
        <w:t>Battery 1 and Battery 2: plain/scaffold/dense cost and interference evidence</w:t>
      </w:r>
    </w:p>
    <w:p>
      <w:pPr>
        <w:pStyle w:val="ListBullet"/>
      </w:pPr>
      <w:r>
        <w:rPr>
          <w:rFonts w:ascii="Calibri" w:hAnsi="Calibri" w:eastAsia="Calibri"/>
        </w:rPr>
        <w:t>Recovered six-month lineage represented by current donor artifacts and anomaly register: vocabulary, retired universals, and anomaly cases</w:t>
      </w:r>
    </w:p>
    <w:p>
      <w:pPr>
        <w:pStyle w:val="Definition"/>
      </w:pPr>
      <w:r>
        <w:rPr>
          <w:rFonts w:ascii="Calibri" w:hAnsi="Calibri" w:eastAsia="Calibri"/>
        </w:rPr>
        <w:t>Lineage qualification: the six-month lineage is recovered through the current donor artifacts and anomaly register. This readable projection does not independently identify or hash every historical source object.</w:t>
      </w:r>
    </w:p>
    <w:p>
      <w:pPr>
        <w:pStyle w:val="Heading2"/>
      </w:pPr>
      <w:r>
        <w:rPr>
          <w:rFonts w:ascii="Calibri" w:hAnsi="Calibri" w:eastAsia="Calibri"/>
        </w:rPr>
        <w:t>Explicitly excluded as universal</w:t>
      </w:r>
    </w:p>
    <w:p>
      <w:pPr>
        <w:pStyle w:val="ListBullet"/>
      </w:pPr>
      <w:r>
        <w:rPr>
          <w:rFonts w:ascii="Calibri" w:hAnsi="Calibri" w:eastAsia="Calibri"/>
        </w:rPr>
        <w:t>any old six-plane, five-view, six-record, or graph topology</w:t>
      </w:r>
    </w:p>
    <w:p>
      <w:pPr>
        <w:pStyle w:val="ListBullet"/>
      </w:pPr>
      <w:r>
        <w:rPr>
          <w:rFonts w:ascii="Calibri" w:hAnsi="Calibri" w:eastAsia="Calibri"/>
        </w:rPr>
        <w:t>any global term-pair inequality or nonimplication enumeration</w:t>
      </w:r>
    </w:p>
    <w:p>
      <w:pPr>
        <w:pStyle w:val="ListBullet"/>
      </w:pPr>
      <w:r>
        <w:rPr>
          <w:rFonts w:ascii="Calibri" w:hAnsi="Calibri" w:eastAsia="Calibri"/>
        </w:rPr>
        <w:t>any precomputed universal graph</w:t>
      </w:r>
    </w:p>
    <w:p>
      <w:pPr>
        <w:pStyle w:val="ListBullet"/>
      </w:pPr>
      <w:r>
        <w:rPr>
          <w:rFonts w:ascii="Calibri" w:hAnsi="Calibri" w:eastAsia="Calibri"/>
        </w:rPr>
        <w:t>any internal test-volume confidence multiplier</w:t>
      </w:r>
    </w:p>
    <w:p>
      <w:pPr>
        <w:pStyle w:val="ListBullet"/>
      </w:pPr>
      <w:r>
        <w:rPr>
          <w:rFonts w:ascii="Calibri" w:hAnsi="Calibri" w:eastAsia="Calibri"/>
        </w:rPr>
        <w:t>any prior final, canonical, official, or promoted label</w:t>
      </w:r>
    </w:p>
    <w:tbl>
      <w:tblPr>
        <w:tblW w:type="dxa" w:w="9360"/>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trHeight w:hRule="atLeast"/>
          <w:cantSplit w:val="true"/>
          <w:tblHeader w:val="true"/>
        </w:trPr>
        <w:tc>
          <w:tcPr>
            <w:tcW w:type="dxa" w:w="9360"/>
            <w:tcMar>
              <w:top w:w="80" w:type="dxa"/>
              <w:start w:w="120" w:type="dxa"/>
              <w:bottom w:w="80" w:type="dxa"/>
              <w:end w:w="120" w:type="dxa"/>
            </w:tcMar>
            <w:shd w:fill="F4F6F9" w:val="clear"/>
          </w:tcPr>
          <w:p>
            <w:pPr>
              <w:spacing w:before="20" w:after="20" w:line="276" w:lineRule="auto"/>
            </w:pPr>
            <w:r>
              <w:rPr>
                <w:rFonts w:ascii="Calibri" w:hAnsi="Calibri" w:eastAsia="Calibri"/>
                <w:b/>
                <w:color w:val="8A6600"/>
                <w:sz w:val="17"/>
              </w:rPr>
              <w:t xml:space="preserve">AUTHORITY BOUNDARY  </w:t>
            </w:r>
            <w:r>
              <w:rPr>
                <w:rFonts w:ascii="Calibri" w:hAnsi="Calibri" w:eastAsia="Calibri"/>
                <w:color w:val="0B2545"/>
                <w:sz w:val="20"/>
              </w:rPr>
              <w:t>This readable file is a derived human-resolution projection. The code packet carries the sole normative source at spec/system.json. If this document and that source disagree, the source wins and this document must be rebuilt.</w:t>
            </w:r>
          </w:p>
        </w:tc>
      </w:tr>
    </w:tbl>
    <w:p>
      <w:pPr>
        <w:spacing w:after="0"/>
      </w:pPr>
    </w:p>
    <w:p>
      <w:pPr>
        <w:pStyle w:val="Heading1"/>
      </w:pPr>
      <w:r>
        <w:t>Appendix A  Compact templates</w:t>
      </w:r>
    </w:p>
    <w:p>
      <w:pPr>
        <w:pStyle w:val="Kicker"/>
        <w:keepNext/>
      </w:pPr>
      <w:r>
        <w:rPr>
          <w:rFonts w:ascii="Calibri" w:hAnsi="Calibri" w:eastAsia="Calibri"/>
          <w:color w:val="667085"/>
        </w:rPr>
        <w:t>Copy these shapes; replace every placeholder with task-local material.</w:t>
      </w:r>
    </w:p>
    <w:p>
      <w:pPr>
        <w:pStyle w:val="Heading2"/>
      </w:pPr>
      <w:r>
        <w:rPr>
          <w:rFonts w:ascii="Calibri" w:hAnsi="Calibri" w:eastAsia="Calibri"/>
        </w:rPr>
        <w:t>RunSpec</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900"/>
        <w:gridCol w:w="7460"/>
      </w:tblGrid>
      <w:tr>
        <w:trPr>
          <w:trHeight w:hRule="atLeast"/>
          <w:cantSplit w:val="true"/>
          <w:tblHeader w:val="true"/>
        </w:trPr>
        <w:tc>
          <w:tcPr>
            <w:tcW w:type="dxa" w:w="190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Field</w:t>
            </w:r>
          </w:p>
        </w:tc>
        <w:tc>
          <w:tcPr>
            <w:tcW w:type="dxa" w:w="746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Fill</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5"/>
              </w:rPr>
              <w:t>Request</w:t>
            </w:r>
          </w:p>
        </w:tc>
        <w:tc>
          <w:tcPr>
            <w:tcW w:type="dxa" w:w="7460"/>
            <w:vAlign w:val="center"/>
          </w:tcPr>
          <w:p>
            <w:pPr>
              <w:pStyle w:val="TableBody"/>
              <w:spacing w:before="0" w:after="0" w:line="252" w:lineRule="auto"/>
              <w:jc w:val="left"/>
            </w:pPr>
            <w:r>
              <w:rPr>
                <w:rFonts w:ascii="Calibri" w:hAnsi="Calibri" w:eastAsia="Calibri"/>
                <w:b w:val="0"/>
                <w:color w:val="111827"/>
                <w:sz w:val="15"/>
              </w:rPr>
              <w:t>Raw request, unchanged</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5"/>
              </w:rPr>
              <w:t>Return</w:t>
            </w:r>
          </w:p>
        </w:tc>
        <w:tc>
          <w:tcPr>
            <w:tcW w:type="dxa" w:w="7460"/>
            <w:vAlign w:val="center"/>
          </w:tcPr>
          <w:p>
            <w:pPr>
              <w:pStyle w:val="TableBody"/>
              <w:spacing w:before="0" w:after="0" w:line="252" w:lineRule="auto"/>
              <w:jc w:val="left"/>
            </w:pPr>
            <w:r>
              <w:rPr>
                <w:rFonts w:ascii="Calibri" w:hAnsi="Calibri" w:eastAsia="Calibri"/>
                <w:b w:val="0"/>
                <w:color w:val="111827"/>
                <w:sz w:val="15"/>
              </w:rPr>
              <w:t>Components, use, standing, risk tier</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5"/>
              </w:rPr>
              <w:t>Protected</w:t>
            </w:r>
          </w:p>
        </w:tc>
        <w:tc>
          <w:tcPr>
            <w:tcW w:type="dxa" w:w="7460"/>
            <w:vAlign w:val="center"/>
          </w:tcPr>
          <w:p>
            <w:pPr>
              <w:pStyle w:val="TableBody"/>
              <w:spacing w:before="0" w:after="0" w:line="252" w:lineRule="auto"/>
              <w:jc w:val="left"/>
            </w:pPr>
            <w:r>
              <w:rPr>
                <w:rFonts w:ascii="Calibri" w:hAnsi="Calibri" w:eastAsia="Calibri"/>
                <w:b w:val="0"/>
                <w:color w:val="111827"/>
                <w:sz w:val="15"/>
              </w:rPr>
              <w:t>Conditions that may not be traded away</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5"/>
              </w:rPr>
              <w:t>Basis</w:t>
            </w:r>
          </w:p>
        </w:tc>
        <w:tc>
          <w:tcPr>
            <w:tcW w:type="dxa" w:w="7460"/>
            <w:vAlign w:val="center"/>
          </w:tcPr>
          <w:p>
            <w:pPr>
              <w:pStyle w:val="TableBody"/>
              <w:spacing w:before="0" w:after="0" w:line="252" w:lineRule="auto"/>
              <w:jc w:val="left"/>
            </w:pPr>
            <w:r>
              <w:rPr>
                <w:rFonts w:ascii="Calibri" w:hAnsi="Calibri" w:eastAsia="Calibri"/>
                <w:b w:val="0"/>
                <w:color w:val="111827"/>
                <w:sz w:val="15"/>
              </w:rPr>
              <w:t>IDs, sources, versions, assumptions, uncertainty</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5"/>
              </w:rPr>
              <w:t>Authority</w:t>
            </w:r>
          </w:p>
        </w:tc>
        <w:tc>
          <w:tcPr>
            <w:tcW w:type="dxa" w:w="7460"/>
            <w:vAlign w:val="center"/>
          </w:tcPr>
          <w:p>
            <w:pPr>
              <w:pStyle w:val="TableBody"/>
              <w:spacing w:before="0" w:after="0" w:line="252" w:lineRule="auto"/>
              <w:jc w:val="left"/>
            </w:pPr>
            <w:r>
              <w:rPr>
                <w:rFonts w:ascii="Calibri" w:hAnsi="Calibri" w:eastAsia="Calibri"/>
                <w:b w:val="0"/>
                <w:color w:val="111827"/>
                <w:sz w:val="15"/>
              </w:rPr>
              <w:t>Actor, permissions, restrictions</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5"/>
              </w:rPr>
              <w:t>Tools / budget</w:t>
            </w:r>
          </w:p>
        </w:tc>
        <w:tc>
          <w:tcPr>
            <w:tcW w:type="dxa" w:w="7460"/>
            <w:vAlign w:val="center"/>
          </w:tcPr>
          <w:p>
            <w:pPr>
              <w:pStyle w:val="TableBody"/>
              <w:spacing w:before="0" w:after="0" w:line="252" w:lineRule="auto"/>
              <w:jc w:val="left"/>
            </w:pPr>
            <w:r>
              <w:rPr>
                <w:rFonts w:ascii="Calibri" w:hAnsi="Calibri" w:eastAsia="Calibri"/>
                <w:b w:val="0"/>
                <w:color w:val="111827"/>
                <w:sz w:val="15"/>
              </w:rPr>
              <w:t>Allowed tools, max moves, tokens/calls/time/cost</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5"/>
              </w:rPr>
              <w:t>Formation</w:t>
            </w:r>
          </w:p>
        </w:tc>
        <w:tc>
          <w:tcPr>
            <w:tcW w:type="dxa" w:w="7460"/>
            <w:vAlign w:val="center"/>
          </w:tcPr>
          <w:p>
            <w:pPr>
              <w:pStyle w:val="TableBody"/>
              <w:spacing w:before="0" w:after="0" w:line="252" w:lineRule="auto"/>
              <w:jc w:val="left"/>
            </w:pPr>
            <w:r>
              <w:rPr>
                <w:rFonts w:ascii="Calibri" w:hAnsi="Calibri" w:eastAsia="Calibri"/>
                <w:b w:val="0"/>
                <w:color w:val="111827"/>
                <w:sz w:val="15"/>
              </w:rPr>
              <w:t>NATIVE by default; waived partitions if GUIDED</w:t>
            </w:r>
          </w:p>
        </w:tc>
      </w:tr>
    </w:tbl>
    <w:p>
      <w:pPr>
        <w:pStyle w:val="Heading2"/>
      </w:pPr>
      <w:r>
        <w:rPr>
          <w:rFonts w:ascii="Calibri" w:hAnsi="Calibri" w:eastAsia="Calibri"/>
        </w:rPr>
        <w:t>Hinge / Trial</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900"/>
        <w:gridCol w:w="7460"/>
      </w:tblGrid>
      <w:tr>
        <w:trPr>
          <w:trHeight w:hRule="atLeast"/>
          <w:cantSplit w:val="true"/>
          <w:tblHeader w:val="true"/>
        </w:trPr>
        <w:tc>
          <w:tcPr>
            <w:tcW w:type="dxa" w:w="190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Field</w:t>
            </w:r>
          </w:p>
        </w:tc>
        <w:tc>
          <w:tcPr>
            <w:tcW w:type="dxa" w:w="746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Fill</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5"/>
              </w:rPr>
              <w:t>Rivals</w:t>
            </w:r>
          </w:p>
        </w:tc>
        <w:tc>
          <w:tcPr>
            <w:tcW w:type="dxa" w:w="7460"/>
            <w:vAlign w:val="center"/>
          </w:tcPr>
          <w:p>
            <w:pPr>
              <w:pStyle w:val="TableBody"/>
              <w:spacing w:before="0" w:after="0" w:line="252" w:lineRule="auto"/>
              <w:jc w:val="left"/>
            </w:pPr>
            <w:r>
              <w:rPr>
                <w:rFonts w:ascii="Calibri" w:hAnsi="Calibri" w:eastAsia="Calibri"/>
                <w:b w:val="0"/>
                <w:color w:val="111827"/>
                <w:sz w:val="15"/>
              </w:rPr>
              <w:t>Candidate ↔ nearest material rival</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5"/>
              </w:rPr>
              <w:t>Changed field</w:t>
            </w:r>
          </w:p>
        </w:tc>
        <w:tc>
          <w:tcPr>
            <w:tcW w:type="dxa" w:w="7460"/>
            <w:vAlign w:val="center"/>
          </w:tcPr>
          <w:p>
            <w:pPr>
              <w:pStyle w:val="TableBody"/>
              <w:spacing w:before="0" w:after="0" w:line="252" w:lineRule="auto"/>
              <w:jc w:val="left"/>
            </w:pPr>
            <w:r>
              <w:rPr>
                <w:rFonts w:ascii="Calibri" w:hAnsi="Calibri" w:eastAsia="Calibri"/>
                <w:b w:val="0"/>
                <w:color w:val="111827"/>
                <w:sz w:val="15"/>
              </w:rPr>
              <w:t>Exact Return / Standing / obligation / protected / reentry field</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5"/>
              </w:rPr>
              <w:t>Consequence split</w:t>
            </w:r>
          </w:p>
        </w:tc>
        <w:tc>
          <w:tcPr>
            <w:tcW w:type="dxa" w:w="7460"/>
            <w:vAlign w:val="center"/>
          </w:tcPr>
          <w:p>
            <w:pPr>
              <w:pStyle w:val="TableBody"/>
              <w:spacing w:before="0" w:after="0" w:line="252" w:lineRule="auto"/>
              <w:jc w:val="left"/>
            </w:pPr>
            <w:r>
              <w:rPr>
                <w:rFonts w:ascii="Calibri" w:hAnsi="Calibri" w:eastAsia="Calibri"/>
                <w:b w:val="0"/>
                <w:color w:val="111827"/>
                <w:sz w:val="15"/>
              </w:rPr>
              <w:t>What follows under each rival</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5"/>
              </w:rPr>
              <w:t>Discriminator</w:t>
            </w:r>
          </w:p>
        </w:tc>
        <w:tc>
          <w:tcPr>
            <w:tcW w:type="dxa" w:w="7460"/>
            <w:vAlign w:val="center"/>
          </w:tcPr>
          <w:p>
            <w:pPr>
              <w:pStyle w:val="TableBody"/>
              <w:spacing w:before="0" w:after="0" w:line="252" w:lineRule="auto"/>
              <w:jc w:val="left"/>
            </w:pPr>
            <w:r>
              <w:rPr>
                <w:rFonts w:ascii="Calibri" w:hAnsi="Calibri" w:eastAsia="Calibri"/>
                <w:b w:val="0"/>
                <w:color w:val="111827"/>
                <w:sz w:val="15"/>
              </w:rPr>
              <w:t>Evidence or probe that can separate them</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5"/>
              </w:rPr>
              <w:t>Matched trial</w:t>
            </w:r>
          </w:p>
        </w:tc>
        <w:tc>
          <w:tcPr>
            <w:tcW w:type="dxa" w:w="7460"/>
            <w:vAlign w:val="center"/>
          </w:tcPr>
          <w:p>
            <w:pPr>
              <w:pStyle w:val="TableBody"/>
              <w:spacing w:before="0" w:after="0" w:line="252" w:lineRule="auto"/>
              <w:jc w:val="left"/>
            </w:pPr>
            <w:r>
              <w:rPr>
                <w:rFonts w:ascii="Calibri" w:hAnsi="Calibri" w:eastAsia="Calibri"/>
                <w:b w:val="0"/>
                <w:color w:val="111827"/>
                <w:sz w:val="15"/>
              </w:rPr>
              <w:t>Same criteria, cost, tools, and burden</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5"/>
              </w:rPr>
              <w:t>Update</w:t>
            </w:r>
          </w:p>
        </w:tc>
        <w:tc>
          <w:tcPr>
            <w:tcW w:type="dxa" w:w="7460"/>
            <w:vAlign w:val="center"/>
          </w:tcPr>
          <w:p>
            <w:pPr>
              <w:pStyle w:val="TableBody"/>
              <w:spacing w:before="0" w:after="0" w:line="252" w:lineRule="auto"/>
              <w:jc w:val="left"/>
            </w:pPr>
            <w:r>
              <w:rPr>
                <w:rFonts w:ascii="Calibri" w:hAnsi="Calibri" w:eastAsia="Calibri"/>
                <w:b w:val="0"/>
                <w:color w:val="111827"/>
                <w:sz w:val="15"/>
              </w:rPr>
              <w:t>Binding or Return changed; otherwise discard</w:t>
            </w:r>
          </w:p>
        </w:tc>
      </w:tr>
    </w:tbl>
    <w:p>
      <w:pPr>
        <w:pStyle w:val="Heading2"/>
      </w:pPr>
      <w:r>
        <w:rPr>
          <w:rFonts w:ascii="Calibri" w:hAnsi="Calibri" w:eastAsia="Calibri"/>
        </w:rPr>
        <w:t>Exact OPEN</w:t>
      </w:r>
    </w:p>
    <w:tbl>
      <w:tblPr>
        <w:tblStyle w:val="TableGrid"/>
        <w:tblW w:type="dxa" w:w="9360"/>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900"/>
        <w:gridCol w:w="7460"/>
      </w:tblGrid>
      <w:tr>
        <w:trPr>
          <w:trHeight w:hRule="atLeast"/>
          <w:cantSplit w:val="true"/>
          <w:tblHeader w:val="true"/>
        </w:trPr>
        <w:tc>
          <w:tcPr>
            <w:tcW w:type="dxa" w:w="190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Field</w:t>
            </w:r>
          </w:p>
        </w:tc>
        <w:tc>
          <w:tcPr>
            <w:tcW w:type="dxa" w:w="7460"/>
            <w:tcMar>
              <w:top w:w="80" w:type="dxa"/>
              <w:start w:w="120" w:type="dxa"/>
              <w:bottom w:w="80" w:type="dxa"/>
              <w:end w:w="120" w:type="dxa"/>
            </w:tcMar>
            <w:shd w:fill="E8EEF5" w:val="clear"/>
            <w:vAlign w:val="center"/>
          </w:tcPr>
          <w:p>
            <w:pPr>
              <w:pStyle w:val="TableBody"/>
              <w:spacing w:before="0" w:after="0" w:line="252" w:lineRule="auto"/>
              <w:jc w:val="center"/>
            </w:pPr>
            <w:r>
              <w:rPr>
                <w:rFonts w:ascii="Calibri" w:hAnsi="Calibri" w:eastAsia="Calibri"/>
                <w:b/>
                <w:color w:val="0B2545"/>
                <w:sz w:val="16"/>
              </w:rPr>
              <w:t>Fill</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5"/>
              </w:rPr>
              <w:t>First break</w:t>
            </w:r>
          </w:p>
        </w:tc>
        <w:tc>
          <w:tcPr>
            <w:tcW w:type="dxa" w:w="7460"/>
            <w:vAlign w:val="center"/>
          </w:tcPr>
          <w:p>
            <w:pPr>
              <w:pStyle w:val="TableBody"/>
              <w:spacing w:before="0" w:after="0" w:line="252" w:lineRule="auto"/>
              <w:jc w:val="left"/>
            </w:pPr>
            <w:r>
              <w:rPr>
                <w:rFonts w:ascii="Calibri" w:hAnsi="Calibri" w:eastAsia="Calibri"/>
                <w:b w:val="0"/>
                <w:color w:val="111827"/>
                <w:sz w:val="15"/>
              </w:rPr>
              <w:t>Earliest unclosed obligation</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5"/>
              </w:rPr>
              <w:t>Supported prefix</w:t>
            </w:r>
          </w:p>
        </w:tc>
        <w:tc>
          <w:tcPr>
            <w:tcW w:type="dxa" w:w="7460"/>
            <w:vAlign w:val="center"/>
          </w:tcPr>
          <w:p>
            <w:pPr>
              <w:pStyle w:val="TableBody"/>
              <w:spacing w:before="0" w:after="0" w:line="252" w:lineRule="auto"/>
              <w:jc w:val="left"/>
            </w:pPr>
            <w:r>
              <w:rPr>
                <w:rFonts w:ascii="Calibri" w:hAnsi="Calibri" w:eastAsia="Calibri"/>
                <w:b w:val="0"/>
                <w:color w:val="111827"/>
                <w:sz w:val="15"/>
              </w:rPr>
              <w:t>Deepest independently supported remainder or NONE_EARNED</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5"/>
              </w:rPr>
              <w:t>Scope</w:t>
            </w:r>
          </w:p>
        </w:tc>
        <w:tc>
          <w:tcPr>
            <w:tcW w:type="dxa" w:w="7460"/>
            <w:vAlign w:val="center"/>
          </w:tcPr>
          <w:p>
            <w:pPr>
              <w:pStyle w:val="TableBody"/>
              <w:spacing w:before="0" w:after="0" w:line="252" w:lineRule="auto"/>
              <w:jc w:val="left"/>
            </w:pPr>
            <w:r>
              <w:rPr>
                <w:rFonts w:ascii="Calibri" w:hAnsi="Calibri" w:eastAsia="Calibri"/>
                <w:b w:val="0"/>
                <w:color w:val="111827"/>
                <w:sz w:val="15"/>
              </w:rPr>
              <w:t>Affected and unaffected Return components</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5"/>
              </w:rPr>
              <w:t>Need</w:t>
            </w:r>
          </w:p>
        </w:tc>
        <w:tc>
          <w:tcPr>
            <w:tcW w:type="dxa" w:w="7460"/>
            <w:vAlign w:val="center"/>
          </w:tcPr>
          <w:p>
            <w:pPr>
              <w:pStyle w:val="TableBody"/>
              <w:spacing w:before="0" w:after="0" w:line="252" w:lineRule="auto"/>
              <w:jc w:val="left"/>
            </w:pPr>
            <w:r>
              <w:rPr>
                <w:rFonts w:ascii="Calibri" w:hAnsi="Calibri" w:eastAsia="Calibri"/>
                <w:b w:val="0"/>
                <w:color w:val="111827"/>
                <w:sz w:val="15"/>
              </w:rPr>
              <w:t>Exact evidence / event / permission / choice / capability</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5"/>
              </w:rPr>
              <w:t>Ceiling</w:t>
            </w:r>
          </w:p>
        </w:tc>
        <w:tc>
          <w:tcPr>
            <w:tcW w:type="dxa" w:w="7460"/>
            <w:vAlign w:val="center"/>
          </w:tcPr>
          <w:p>
            <w:pPr>
              <w:pStyle w:val="TableBody"/>
              <w:spacing w:before="0" w:after="0" w:line="252" w:lineRule="auto"/>
              <w:jc w:val="left"/>
            </w:pPr>
            <w:r>
              <w:rPr>
                <w:rFonts w:ascii="Calibri" w:hAnsi="Calibri" w:eastAsia="Calibri"/>
                <w:b w:val="0"/>
                <w:color w:val="111827"/>
                <w:sz w:val="15"/>
              </w:rPr>
              <w:t>Strongest Standing warranted now</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5"/>
              </w:rPr>
              <w:t>Reentry</w:t>
            </w:r>
          </w:p>
        </w:tc>
        <w:tc>
          <w:tcPr>
            <w:tcW w:type="dxa" w:w="7460"/>
            <w:vAlign w:val="center"/>
          </w:tcPr>
          <w:p>
            <w:pPr>
              <w:pStyle w:val="TableBody"/>
              <w:spacing w:before="0" w:after="0" w:line="252" w:lineRule="auto"/>
              <w:jc w:val="left"/>
            </w:pPr>
            <w:r>
              <w:rPr>
                <w:rFonts w:ascii="Calibri" w:hAnsi="Calibri" w:eastAsia="Calibri"/>
                <w:b w:val="0"/>
                <w:color w:val="111827"/>
                <w:sz w:val="15"/>
              </w:rPr>
              <w:t>Earliest useful next action and required material</w:t>
            </w:r>
          </w:p>
        </w:tc>
      </w:tr>
      <w:tr>
        <w:trPr>
          <w:cantSplit w:val="true"/>
        </w:trPr>
        <w:tc>
          <w:tcPr>
            <w:tcW w:type="dxa" w:w="1900"/>
            <w:vAlign w:val="center"/>
          </w:tcPr>
          <w:p>
            <w:pPr>
              <w:pStyle w:val="TableBody"/>
              <w:spacing w:before="0" w:after="0" w:line="252" w:lineRule="auto"/>
              <w:jc w:val="left"/>
            </w:pPr>
            <w:r>
              <w:rPr>
                <w:rFonts w:ascii="Calibri" w:hAnsi="Calibri" w:eastAsia="Calibri"/>
                <w:b w:val="0"/>
                <w:color w:val="111827"/>
                <w:sz w:val="15"/>
              </w:rPr>
              <w:t>Artifact</w:t>
            </w:r>
          </w:p>
        </w:tc>
        <w:tc>
          <w:tcPr>
            <w:tcW w:type="dxa" w:w="7460"/>
            <w:vAlign w:val="center"/>
          </w:tcPr>
          <w:p>
            <w:pPr>
              <w:pStyle w:val="TableBody"/>
              <w:spacing w:before="0" w:after="0" w:line="252" w:lineRule="auto"/>
              <w:jc w:val="left"/>
            </w:pPr>
            <w:r>
              <w:rPr>
                <w:rFonts w:ascii="Calibri" w:hAnsi="Calibri" w:eastAsia="Calibri"/>
                <w:b w:val="0"/>
                <w:color w:val="111827"/>
                <w:sz w:val="15"/>
              </w:rPr>
              <w:t>Fingerprint and unexamined scope</w:t>
            </w:r>
          </w:p>
        </w:tc>
      </w:tr>
    </w:tbl>
    <w:sectPr w:rsidR="00FC693F" w:rsidRPr="0006063C" w:rsidSect="00034616">
      <w:headerReference w:type="default" r:id="rId9"/>
      <w:footerReference w:type="default" r:id="rId10"/>
      <w:pgSz w:w="12240" w:h="15840"/>
      <w:pgMar w:top="1440" w:right="1440" w:bottom="1267" w:left="1440" w:header="708"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README+ 0.1  |  </w:t>
    </w:r>
    <w:r>
      <w:rPr>
        <w:rFonts w:ascii="Calibri" w:hAnsi="Calibri" w:eastAsia="Calibri"/>
        <w:color w:val="667085"/>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7085"/>
        <w:sz w:val="15"/>
      </w:rPr>
      <w:t>ARCHITECTURE+ 0.1  /  COMPLETE READABLE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88" w:lineRule="auto"/>
    </w:pPr>
    <w:rPr>
      <w:rFonts w:ascii="Calibri" w:hAnsi="Calibri"/>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88" w:lineRule="auto"/>
      <w:ind w:left="540" w:hanging="271"/>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88" w:lineRule="auto"/>
      <w:ind w:left="540" w:hanging="271"/>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val="0"/>
      <w:bCs/>
      <w:color w:val="66708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basedOn w:val="Normal"/>
    <w:pPr>
      <w:spacing w:after="100"/>
    </w:pPr>
    <w:rPr>
      <w:rFonts w:ascii="Calibri" w:hAnsi="Calibri"/>
      <w:b/>
      <w:color w:val="8A6600"/>
      <w:sz w:val="18"/>
    </w:rPr>
  </w:style>
  <w:style w:type="paragraph" w:customStyle="1" w:styleId="Lead">
    <w:name w:val="Lead"/>
    <w:basedOn w:val="Normal"/>
    <w:pPr>
      <w:spacing w:after="200" w:line="300" w:lineRule="auto"/>
    </w:pPr>
    <w:rPr>
      <w:rFonts w:ascii="Calibri" w:hAnsi="Calibri"/>
      <w:b w:val="0"/>
      <w:color w:val="0B2545"/>
      <w:sz w:val="24"/>
    </w:rPr>
  </w:style>
  <w:style w:type="paragraph" w:customStyle="1" w:styleId="Definition">
    <w:name w:val="Definition"/>
    <w:basedOn w:val="Normal"/>
    <w:pPr>
      <w:spacing w:after="80" w:line="269" w:lineRule="auto"/>
    </w:pPr>
    <w:rPr>
      <w:rFonts w:ascii="Calibri" w:hAnsi="Calibri"/>
      <w:b w:val="0"/>
      <w:color w:val="111827"/>
      <w:sz w:val="19"/>
    </w:rPr>
  </w:style>
  <w:style w:type="paragraph" w:customStyle="1" w:styleId="TableBody">
    <w:name w:val="Table Body"/>
    <w:basedOn w:val="Normal"/>
    <w:pPr>
      <w:spacing w:after="0"/>
    </w:pPr>
    <w:rPr>
      <w:rFonts w:ascii="Calibri" w:hAnsi="Calibri"/>
      <w:b w:val="0"/>
      <w:color w:val="111827"/>
      <w:sz w:val="17"/>
    </w:rPr>
  </w:style>
  <w:style w:type="paragraph" w:customStyle="1" w:styleId="Law">
    <w:name w:val="Law"/>
    <w:basedOn w:val="Normal"/>
    <w:pPr>
      <w:spacing w:after="60" w:line="264" w:lineRule="auto"/>
    </w:pPr>
    <w:rPr>
      <w:rFonts w:ascii="Calibri" w:hAnsi="Calibri"/>
      <w:b w:val="0"/>
      <w:color w:val="111827"/>
      <w:sz w:val="18"/>
    </w:rPr>
  </w:style>
  <w:style w:type="paragraph" w:customStyle="1" w:styleId="Tiny">
    <w:name w:val="Tiny"/>
    <w:basedOn w:val="Normal"/>
    <w:pPr>
      <w:spacing w:after="60" w:line="252" w:lineRule="auto"/>
    </w:pPr>
    <w:rPr>
      <w:rFonts w:ascii="Calibri" w:hAnsi="Calibri"/>
      <w:b w:val="0"/>
      <w:color w:val="66708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README+ 0.1</dc:title>
  <dc:subject>The Complete Readable Architecture for Architecture+ 0.1</dc:subject>
  <dc:creator>Architecture+ Project</dc:creator>
  <cp:keywords>Architecture+, Passage Theory, Earned Structure, Consequence Compiler</cp:keywords>
  <dc:description>Derived human-resolution projection. Normative source: spec/system.json. Design: compact_reference_guide + editorial_cover. Named density overrides: dense_reference_body; dense_tables; compact_running_furniture.</dc:description>
  <cp:lastModifiedBy/>
  <cp:revision>1</cp:revision>
  <dcterms:created xsi:type="dcterms:W3CDTF">2013-12-23T23:15:00Z</dcterms:created>
  <dcterms:modified xsi:type="dcterms:W3CDTF">2013-12-23T23:15:00Z</dcterms:modified>
  <cp:category/>
</cp:coreProperties>
</file>