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Contextual Rebinding</w:t>
        <w:br/>
        <w:t>Architecture v1.1</w:t>
      </w:r>
    </w:p>
    <w:p>
      <w:pPr>
        <w:pStyle w:val="Subtitle"/>
      </w:pPr>
      <w:r>
        <w:t>Local law. Typed passage. Destination Standing.</w:t>
      </w:r>
    </w:p>
    <w:tbl>
      <w:tblPr>
        <w:tblW w:type="dxa" w:w="9360"/>
        <w:jc w:val="center"/>
        <w:tblLayout w:type="fixed"/>
        <w:tblLook w:firstColumn="1" w:firstRow="1" w:lastColumn="0" w:lastRow="0" w:noHBand="0" w:noVBand="1" w:val="04A0"/>
        <w:tblInd w:w="120" w:type="dxa"/>
      </w:tblPr>
      <w:tblGrid>
        <w:gridCol w:w="9360"/>
      </w:tblGrid>
      <w:tr>
        <w:tc>
          <w:tcPr>
            <w:tcW w:type="dxa" w:w="9360"/>
            <w:shd w:fill="E8F1F8"/>
            <w:tcMar>
              <w:top w:w="150" w:type="dxa"/>
              <w:start w:w="120" w:type="dxa"/>
              <w:bottom w:w="150" w:type="dxa"/>
              <w:end w:w="120" w:type="dxa"/>
            </w:tcMar>
          </w:tcPr>
          <w:p>
            <w:pPr>
              <w:jc w:val="center"/>
            </w:pPr>
            <w:r>
              <w:rPr>
                <w:b/>
                <w:color w:val="17324D"/>
                <w:sz w:val="24"/>
              </w:rPr>
              <w:t>A result belongs to the Regime, Demand, and Basis that earned it. Elsewhere, only typed material may pass; Standing must be earned again.</w:t>
            </w:r>
          </w:p>
        </w:tc>
      </w:tr>
    </w:tbl>
    <w:p>
      <w:r>
        <w:rPr>
          <w:b/>
          <w:color w:val="1F4D78"/>
        </w:rPr>
        <w:t>CRA v1.1 is the current research baseline. It keeps v1.0's seven-root federation kernel, repairs exact noncompletion, restores predecessor-frontier conservation, and reports qualification cell by cell.</w:t>
      </w:r>
    </w:p>
    <w:p>
      <w:r>
        <w:t>CRA lets autonomous local regimes remain autonomous while making every passage between them explicit, bounded, accountable, and destination-earned.</w:t>
      </w:r>
    </w:p>
    <w:p>
      <w:r>
        <w:t>CRA v1.1 is a minimal federation kernel with a finite executable reference profile. Its optional Structural Lexicon preserves reusable terminology without granting that terminology kernel authority.</w:t>
      </w:r>
    </w:p>
    <w:p>
      <w:r>
        <w:t>Every earned result is indexed by a versioned Regime R, an exact Demand D, and a complete Basis B: I = (R, D, B). Distinct indexes have no default equality, entailment, authority, validity, identity, or Standing.</w:t>
      </w:r>
    </w:p>
    <w:p>
      <w:pPr>
        <w:pStyle w:val="Heading1"/>
      </w:pPr>
      <w:r>
        <w:t>Seven roots</w:t>
      </w:r>
    </w:p>
    <w:tbl>
      <w:tblPr>
        <w:tblStyle w:val="TableGrid"/>
        <w:tblW w:type="dxa" w:w="9360"/>
        <w:tblLayout w:type="fixed"/>
        <w:tblLook w:firstColumn="1" w:firstRow="1" w:lastColumn="0" w:lastRow="0" w:noHBand="0" w:noVBand="1" w:val="04A0"/>
        <w:jc w:val="center"/>
        <w:tblInd w:w="120" w:type="dxa"/>
      </w:tblPr>
      <w:tblGrid>
        <w:gridCol w:w="1944"/>
        <w:gridCol w:w="7416"/>
      </w:tblGrid>
      <w:tr>
        <w:trPr>
          <w:tblHeader/>
          <w:cantSplit/>
        </w:trPr>
        <w:tc>
          <w:tcPr>
            <w:tcW w:type="dxa" w:w="1944"/>
            <w:shd w:fill="DCE9F3"/>
            <w:tcMar>
              <w:top w:w="80" w:type="dxa"/>
              <w:start w:w="120" w:type="dxa"/>
              <w:bottom w:w="80" w:type="dxa"/>
              <w:end w:w="120" w:type="dxa"/>
            </w:tcMar>
            <w:vAlign w:val="center"/>
          </w:tcPr>
          <w:p>
            <w:pPr>
              <w:spacing w:after="0"/>
            </w:pPr>
            <w:r>
              <w:rPr>
                <w:b/>
                <w:color w:val="17324D"/>
                <w:sz w:val="18"/>
              </w:rPr>
              <w:t>Root</w:t>
            </w:r>
          </w:p>
        </w:tc>
        <w:tc>
          <w:tcPr>
            <w:tcW w:type="dxa" w:w="7416"/>
            <w:shd w:fill="DCE9F3"/>
            <w:tcMar>
              <w:top w:w="80" w:type="dxa"/>
              <w:start w:w="120" w:type="dxa"/>
              <w:bottom w:w="80" w:type="dxa"/>
              <w:end w:w="120" w:type="dxa"/>
            </w:tcMar>
            <w:vAlign w:val="center"/>
          </w:tcPr>
          <w:p>
            <w:pPr>
              <w:spacing w:after="0"/>
            </w:pPr>
            <w:r>
              <w:rPr>
                <w:b/>
                <w:color w:val="17324D"/>
                <w:sz w:val="18"/>
              </w:rPr>
              <w:t>Irreducible job</w:t>
            </w:r>
          </w:p>
        </w:tc>
      </w:tr>
      <w:tr>
        <w:trPr>
          <w:cantSplit/>
        </w:trPr>
        <w:tc>
          <w:tcPr>
            <w:tcW w:type="dxa" w:w="1944"/>
            <w:tcMar>
              <w:top w:w="80" w:type="dxa"/>
              <w:start w:w="120" w:type="dxa"/>
              <w:bottom w:w="80" w:type="dxa"/>
              <w:end w:w="120" w:type="dxa"/>
            </w:tcMar>
            <w:vAlign w:val="top"/>
          </w:tcPr>
          <w:p>
            <w:pPr>
              <w:spacing w:after="0" w:line="276" w:lineRule="auto"/>
            </w:pPr>
            <w:r>
              <w:rPr>
                <w:sz w:val="18"/>
              </w:rPr>
              <w:t>Regime —</w:t>
            </w:r>
          </w:p>
        </w:tc>
        <w:tc>
          <w:tcPr>
            <w:tcW w:type="dxa" w:w="7416"/>
            <w:tcMar>
              <w:top w:w="80" w:type="dxa"/>
              <w:start w:w="120" w:type="dxa"/>
              <w:bottom w:w="80" w:type="dxa"/>
              <w:end w:w="120" w:type="dxa"/>
            </w:tcMar>
            <w:vAlign w:val="top"/>
          </w:tcPr>
          <w:p>
            <w:pPr>
              <w:spacing w:after="0" w:line="276" w:lineRule="auto"/>
            </w:pPr>
            <w:r>
              <w:rPr>
                <w:sz w:val="18"/>
              </w:rPr>
              <w:t>one versioned local vocabulary, type system, dependency interface, judgment interface, equivalence, resource law, verifier boundary, and capability manifest.</w:t>
            </w:r>
          </w:p>
        </w:tc>
      </w:tr>
      <w:tr>
        <w:trPr>
          <w:cantSplit/>
        </w:trPr>
        <w:tc>
          <w:tcPr>
            <w:tcW w:type="dxa" w:w="1944"/>
            <w:tcMar>
              <w:top w:w="80" w:type="dxa"/>
              <w:start w:w="120" w:type="dxa"/>
              <w:bottom w:w="80" w:type="dxa"/>
              <w:end w:w="120" w:type="dxa"/>
            </w:tcMar>
            <w:vAlign w:val="top"/>
          </w:tcPr>
          <w:p>
            <w:pPr>
              <w:spacing w:after="0" w:line="276" w:lineRule="auto"/>
            </w:pPr>
            <w:r>
              <w:rPr>
                <w:sz w:val="18"/>
              </w:rPr>
              <w:t>Demand —</w:t>
            </w:r>
          </w:p>
        </w:tc>
        <w:tc>
          <w:tcPr>
            <w:tcW w:type="dxa" w:w="7416"/>
            <w:tcMar>
              <w:top w:w="80" w:type="dxa"/>
              <w:start w:w="120" w:type="dxa"/>
              <w:bottom w:w="80" w:type="dxa"/>
              <w:end w:w="120" w:type="dxa"/>
            </w:tcMar>
            <w:vAlign w:val="top"/>
          </w:tcPr>
          <w:p>
            <w:pPr>
              <w:spacing w:after="0" w:line="276" w:lineRule="auto"/>
            </w:pPr>
            <w:r>
              <w:rPr>
                <w:sz w:val="18"/>
              </w:rPr>
              <w:t>the exact requested Return, accepted equivalence, use, protected conditions, horizon, and required Standing.</w:t>
            </w:r>
          </w:p>
        </w:tc>
      </w:tr>
      <w:tr>
        <w:trPr>
          <w:cantSplit/>
        </w:trPr>
        <w:tc>
          <w:tcPr>
            <w:tcW w:type="dxa" w:w="1944"/>
            <w:tcMar>
              <w:top w:w="80" w:type="dxa"/>
              <w:start w:w="120" w:type="dxa"/>
              <w:bottom w:w="80" w:type="dxa"/>
              <w:end w:w="120" w:type="dxa"/>
            </w:tcMar>
            <w:vAlign w:val="top"/>
          </w:tcPr>
          <w:p>
            <w:pPr>
              <w:spacing w:after="0" w:line="276" w:lineRule="auto"/>
            </w:pPr>
            <w:r>
              <w:rPr>
                <w:sz w:val="18"/>
              </w:rPr>
              <w:t>Basis —</w:t>
            </w:r>
          </w:p>
        </w:tc>
        <w:tc>
          <w:tcPr>
            <w:tcW w:type="dxa" w:w="7416"/>
            <w:tcMar>
              <w:top w:w="80" w:type="dxa"/>
              <w:start w:w="120" w:type="dxa"/>
              <w:bottom w:w="80" w:type="dxa"/>
              <w:end w:w="120" w:type="dxa"/>
            </w:tcMar>
            <w:vAlign w:val="top"/>
          </w:tcPr>
          <w:p>
            <w:pPr>
              <w:spacing w:after="0" w:line="276" w:lineRule="auto"/>
            </w:pPr>
            <w:r>
              <w:rPr>
                <w:sz w:val="18"/>
              </w:rPr>
              <w:t>the immutable, fingerprinted dependency closure for one Regime, Demand, and operator, including assumptions, time, policy, verifiers, obligations, and lineage.</w:t>
            </w:r>
          </w:p>
        </w:tc>
      </w:tr>
      <w:tr>
        <w:trPr>
          <w:cantSplit/>
        </w:trPr>
        <w:tc>
          <w:tcPr>
            <w:tcW w:type="dxa" w:w="1944"/>
            <w:tcMar>
              <w:top w:w="80" w:type="dxa"/>
              <w:start w:w="120" w:type="dxa"/>
              <w:bottom w:w="80" w:type="dxa"/>
              <w:end w:w="120" w:type="dxa"/>
            </w:tcMar>
            <w:vAlign w:val="top"/>
          </w:tcPr>
          <w:p>
            <w:pPr>
              <w:spacing w:after="0" w:line="276" w:lineRule="auto"/>
            </w:pPr>
            <w:r>
              <w:rPr>
                <w:sz w:val="18"/>
              </w:rPr>
              <w:t>Judgment —</w:t>
            </w:r>
          </w:p>
        </w:tc>
        <w:tc>
          <w:tcPr>
            <w:tcW w:type="dxa" w:w="7416"/>
            <w:tcMar>
              <w:top w:w="80" w:type="dxa"/>
              <w:start w:w="120" w:type="dxa"/>
              <w:bottom w:w="80" w:type="dxa"/>
              <w:end w:w="120" w:type="dxa"/>
            </w:tcMar>
            <w:vAlign w:val="top"/>
          </w:tcPr>
          <w:p>
            <w:pPr>
              <w:spacing w:after="0" w:line="276" w:lineRule="auto"/>
            </w:pPr>
            <w:r>
              <w:rPr>
                <w:sz w:val="18"/>
              </w:rPr>
              <w:t>one destination-local conclusion verified by that Regime under the exact current Basis; its result remains in the Regime's native logic.</w:t>
            </w:r>
          </w:p>
        </w:tc>
      </w:tr>
      <w:tr>
        <w:trPr>
          <w:cantSplit/>
        </w:trPr>
        <w:tc>
          <w:tcPr>
            <w:tcW w:type="dxa" w:w="1944"/>
            <w:tcMar>
              <w:top w:w="80" w:type="dxa"/>
              <w:start w:w="120" w:type="dxa"/>
              <w:bottom w:w="80" w:type="dxa"/>
              <w:end w:w="120" w:type="dxa"/>
            </w:tcMar>
            <w:vAlign w:val="top"/>
          </w:tcPr>
          <w:p>
            <w:pPr>
              <w:spacing w:after="0" w:line="276" w:lineRule="auto"/>
            </w:pPr>
            <w:r>
              <w:rPr>
                <w:sz w:val="18"/>
              </w:rPr>
              <w:t>Correspondence —</w:t>
            </w:r>
          </w:p>
        </w:tc>
        <w:tc>
          <w:tcPr>
            <w:tcW w:type="dxa" w:w="7416"/>
            <w:tcMar>
              <w:top w:w="80" w:type="dxa"/>
              <w:start w:w="120" w:type="dxa"/>
              <w:bottom w:w="80" w:type="dxa"/>
              <w:end w:w="120" w:type="dxa"/>
            </w:tcMar>
            <w:vAlign w:val="top"/>
          </w:tcPr>
          <w:p>
            <w:pPr>
              <w:spacing w:after="0" w:line="276" w:lineRule="auto"/>
            </w:pPr>
            <w:r>
              <w:rPr>
                <w:sz w:val="18"/>
              </w:rPr>
              <w:t>a typed, partial, directional, versioned relation with a declared domain, guarantee, verifier, loss, error, residual, and validity boundary. A map alone proves no semantic relation.</w:t>
            </w:r>
          </w:p>
        </w:tc>
      </w:tr>
      <w:tr>
        <w:trPr>
          <w:cantSplit/>
        </w:trPr>
        <w:tc>
          <w:tcPr>
            <w:tcW w:type="dxa" w:w="1944"/>
            <w:tcMar>
              <w:top w:w="80" w:type="dxa"/>
              <w:start w:w="120" w:type="dxa"/>
              <w:bottom w:w="80" w:type="dxa"/>
              <w:end w:w="120" w:type="dxa"/>
            </w:tcMar>
            <w:vAlign w:val="top"/>
          </w:tcPr>
          <w:p>
            <w:pPr>
              <w:spacing w:after="0" w:line="276" w:lineRule="auto"/>
            </w:pPr>
            <w:r>
              <w:rPr>
                <w:sz w:val="18"/>
              </w:rPr>
              <w:t>Crossing —</w:t>
            </w:r>
          </w:p>
        </w:tc>
        <w:tc>
          <w:tcPr>
            <w:tcW w:type="dxa" w:w="7416"/>
            <w:tcMar>
              <w:top w:w="80" w:type="dxa"/>
              <w:start w:w="120" w:type="dxa"/>
              <w:bottom w:w="80" w:type="dxa"/>
              <w:end w:w="120" w:type="dxa"/>
            </w:tcMar>
            <w:vAlign w:val="top"/>
          </w:tcPr>
          <w:p>
            <w:pPr>
              <w:spacing w:after="0" w:line="276" w:lineRule="auto"/>
            </w:pPr>
            <w:r>
              <w:rPr>
                <w:sz w:val="18"/>
              </w:rPr>
              <w:t>one actual application of a Correspondence, with an exact multiset account of every source occurrence and every produced destination occurrence.</w:t>
            </w:r>
          </w:p>
        </w:tc>
      </w:tr>
      <w:tr>
        <w:trPr>
          <w:cantSplit/>
        </w:trPr>
        <w:tc>
          <w:tcPr>
            <w:tcW w:type="dxa" w:w="1944"/>
            <w:tcMar>
              <w:top w:w="80" w:type="dxa"/>
              <w:start w:w="120" w:type="dxa"/>
              <w:bottom w:w="80" w:type="dxa"/>
              <w:end w:w="120" w:type="dxa"/>
            </w:tcMar>
            <w:vAlign w:val="top"/>
          </w:tcPr>
          <w:p>
            <w:pPr>
              <w:spacing w:after="0" w:line="276" w:lineRule="auto"/>
            </w:pPr>
            <w:r>
              <w:rPr>
                <w:sz w:val="18"/>
              </w:rPr>
              <w:t>Standing —</w:t>
            </w:r>
          </w:p>
        </w:tc>
        <w:tc>
          <w:tcPr>
            <w:tcW w:type="dxa" w:w="7416"/>
            <w:tcMar>
              <w:top w:w="80" w:type="dxa"/>
              <w:start w:w="120" w:type="dxa"/>
              <w:bottom w:w="80" w:type="dxa"/>
              <w:end w:w="120" w:type="dxa"/>
            </w:tcMar>
            <w:vAlign w:val="top"/>
          </w:tcPr>
          <w:p>
            <w:pPr>
              <w:spacing w:after="0" w:line="276" w:lineRule="auto"/>
            </w:pPr>
            <w:r>
              <w:rPr>
                <w:sz w:val="18"/>
              </w:rPr>
              <w:t>destination-local permission or acceptance to use one Judgment for one bounded purpose. It is not truth, evidence, occurrence, or world state.</w:t>
            </w:r>
          </w:p>
        </w:tc>
      </w:tr>
    </w:tbl>
    <w:p>
      <w:pPr>
        <w:spacing w:after="0" w:line="168" w:lineRule="auto"/>
      </w:pPr>
    </w:p>
    <w:p>
      <w:pPr>
        <w:pStyle w:val="Heading1"/>
      </w:pPr>
      <w:r>
        <w:t>Six laws</w:t>
      </w:r>
    </w:p>
    <w:p>
      <w:pPr>
        <w:keepLines/>
        <w:ind w:left="115" w:hanging="115"/>
      </w:pPr>
      <w:r>
        <w:rPr>
          <w:b/>
          <w:color w:val="1F4D78"/>
        </w:rPr>
        <w:t xml:space="preserve">1. Indexed local sovereignty — </w:t>
      </w:r>
      <w:r>
        <w:t>every value, Judgment, and Standing belongs to its exact index; no cross-index relation exists by default.</w:t>
      </w:r>
    </w:p>
    <w:p>
      <w:pPr>
        <w:keepLines/>
        <w:ind w:left="115" w:hanging="115"/>
      </w:pPr>
      <w:r>
        <w:rPr>
          <w:b/>
          <w:color w:val="1F4D78"/>
        </w:rPr>
        <w:t xml:space="preserve">2. Demand-relative completeness — </w:t>
      </w:r>
      <w:r>
        <w:t>relevance, preservation, loss, success, and reopening derive from the exact Return and a certified dependency closure.</w:t>
      </w:r>
    </w:p>
    <w:p>
      <w:pPr>
        <w:keepLines/>
        <w:ind w:left="115" w:hanging="115"/>
      </w:pPr>
      <w:r>
        <w:rPr>
          <w:b/>
          <w:color w:val="1F4D78"/>
        </w:rPr>
        <w:t xml:space="preserve">3. Lawful correspondence — </w:t>
      </w:r>
      <w:r>
        <w:t>cross-index material needs a verified typed Correspondence or fresh local formation. Only declared guarantees pass; Standing never does.</w:t>
      </w:r>
    </w:p>
    <w:p>
      <w:pPr>
        <w:keepLines/>
        <w:ind w:left="115" w:hanging="115"/>
      </w:pPr>
      <w:r>
        <w:rPr>
          <w:b/>
          <w:color w:val="1F4D78"/>
        </w:rPr>
        <w:t xml:space="preserve">4. Exact bilateral consequence accounting — </w:t>
      </w:r>
      <w:r>
        <w:t>every source and produced destination occurrence has exactly one witnessed relation; nothing appears, disappears, duplicates, merges, or changes burden silently.</w:t>
      </w:r>
    </w:p>
    <w:p>
      <w:pPr>
        <w:keepLines/>
        <w:ind w:left="115" w:hanging="115"/>
      </w:pPr>
      <w:r>
        <w:rPr>
          <w:b/>
          <w:color w:val="1F4D78"/>
        </w:rPr>
        <w:t xml:space="preserve">5. Destination-local earning and layer separation — </w:t>
      </w:r>
      <w:r>
        <w:t>Claim, Judgment, Standing, and Effect remain different; destination rules, policy, authority, use, and witnesses earn each result locally.</w:t>
      </w:r>
    </w:p>
    <w:p>
      <w:pPr>
        <w:keepLines/>
        <w:ind w:left="115" w:hanging="115"/>
      </w:pPr>
      <w:r>
        <w:rPr>
          <w:b/>
          <w:color w:val="1F4D78"/>
        </w:rPr>
        <w:t xml:space="preserve">6. Certified composition or exact noncompletion — </w:t>
      </w:r>
      <w:r>
        <w:t>identity, composition, reuse, reconstruction, and activation exist only where proof obligations close. Otherwise the exact result is OPEN.</w:t>
      </w:r>
    </w:p>
    <w:p>
      <w:pPr>
        <w:pStyle w:val="Heading1"/>
      </w:pPr>
      <w:r>
        <w:t>Outcomes and operation</w:t>
      </w:r>
    </w:p>
    <w:tbl>
      <w:tblPr>
        <w:tblStyle w:val="TableGrid"/>
        <w:tblW w:type="dxa" w:w="9360"/>
        <w:tblLayout w:type="fixed"/>
        <w:tblLook w:firstColumn="1" w:firstRow="1" w:lastColumn="0" w:lastRow="0" w:noHBand="0" w:noVBand="1" w:val="04A0"/>
        <w:jc w:val="center"/>
        <w:tblInd w:w="120" w:type="dxa"/>
      </w:tblPr>
      <w:tblGrid>
        <w:gridCol w:w="1800"/>
        <w:gridCol w:w="7560"/>
      </w:tblGrid>
      <w:tr>
        <w:trPr>
          <w:tblHeader/>
          <w:cantSplit/>
        </w:trPr>
        <w:tc>
          <w:tcPr>
            <w:tcW w:type="dxa" w:w="1800"/>
            <w:shd w:fill="DCE9F3"/>
            <w:tcMar>
              <w:top w:w="80" w:type="dxa"/>
              <w:start w:w="120" w:type="dxa"/>
              <w:bottom w:w="80" w:type="dxa"/>
              <w:end w:w="120" w:type="dxa"/>
            </w:tcMar>
            <w:vAlign w:val="center"/>
          </w:tcPr>
          <w:p>
            <w:pPr>
              <w:spacing w:after="0"/>
            </w:pPr>
            <w:r>
              <w:rPr>
                <w:b/>
                <w:color w:val="17324D"/>
                <w:sz w:val="18"/>
              </w:rPr>
              <w:t>Outcome</w:t>
            </w:r>
          </w:p>
        </w:tc>
        <w:tc>
          <w:tcPr>
            <w:tcW w:type="dxa" w:w="7560"/>
            <w:shd w:fill="DCE9F3"/>
            <w:tcMar>
              <w:top w:w="80" w:type="dxa"/>
              <w:start w:w="120" w:type="dxa"/>
              <w:bottom w:w="80" w:type="dxa"/>
              <w:end w:w="120" w:type="dxa"/>
            </w:tcMar>
            <w:vAlign w:val="center"/>
          </w:tcPr>
          <w:p>
            <w:pPr>
              <w:spacing w:after="0"/>
            </w:pPr>
            <w:r>
              <w:rPr>
                <w:b/>
                <w:color w:val="17324D"/>
                <w:sz w:val="18"/>
              </w:rPr>
              <w:t>Meaning</w:t>
            </w:r>
          </w:p>
        </w:tc>
      </w:tr>
      <w:tr>
        <w:trPr>
          <w:cantSplit/>
        </w:trPr>
        <w:tc>
          <w:tcPr>
            <w:tcW w:type="dxa" w:w="1800"/>
            <w:tcMar>
              <w:top w:w="80" w:type="dxa"/>
              <w:start w:w="120" w:type="dxa"/>
              <w:bottom w:w="80" w:type="dxa"/>
              <w:end w:w="120" w:type="dxa"/>
            </w:tcMar>
            <w:vAlign w:val="top"/>
          </w:tcPr>
          <w:p>
            <w:pPr>
              <w:spacing w:after="0" w:line="276" w:lineRule="auto"/>
            </w:pPr>
            <w:r>
              <w:rPr>
                <w:sz w:val="18"/>
              </w:rPr>
              <w:t>EARNED —</w:t>
            </w:r>
          </w:p>
        </w:tc>
        <w:tc>
          <w:tcPr>
            <w:tcW w:type="dxa" w:w="7560"/>
            <w:tcMar>
              <w:top w:w="80" w:type="dxa"/>
              <w:start w:w="120" w:type="dxa"/>
              <w:bottom w:w="80" w:type="dxa"/>
              <w:end w:w="120" w:type="dxa"/>
            </w:tcMar>
            <w:vAlign w:val="top"/>
          </w:tcPr>
          <w:p>
            <w:pPr>
              <w:spacing w:after="0" w:line="276" w:lineRule="auto"/>
            </w:pPr>
            <w:r>
              <w:rPr>
                <w:sz w:val="18"/>
              </w:rPr>
              <w:t>every mandatory proof obligation has a verified witness.</w:t>
            </w:r>
          </w:p>
        </w:tc>
      </w:tr>
      <w:tr>
        <w:trPr>
          <w:cantSplit/>
        </w:trPr>
        <w:tc>
          <w:tcPr>
            <w:tcW w:type="dxa" w:w="1800"/>
            <w:tcMar>
              <w:top w:w="80" w:type="dxa"/>
              <w:start w:w="120" w:type="dxa"/>
              <w:bottom w:w="80" w:type="dxa"/>
              <w:end w:w="120" w:type="dxa"/>
            </w:tcMar>
            <w:vAlign w:val="top"/>
          </w:tcPr>
          <w:p>
            <w:pPr>
              <w:spacing w:after="0" w:line="276" w:lineRule="auto"/>
            </w:pPr>
            <w:r>
              <w:rPr>
                <w:sz w:val="18"/>
              </w:rPr>
              <w:t>REJECTED —</w:t>
            </w:r>
          </w:p>
        </w:tc>
        <w:tc>
          <w:tcPr>
            <w:tcW w:type="dxa" w:w="7560"/>
            <w:tcMar>
              <w:top w:w="80" w:type="dxa"/>
              <w:start w:w="120" w:type="dxa"/>
              <w:bottom w:w="80" w:type="dxa"/>
              <w:end w:w="120" w:type="dxa"/>
            </w:tcMar>
            <w:vAlign w:val="top"/>
          </w:tcPr>
          <w:p>
            <w:pPr>
              <w:spacing w:after="0" w:line="276" w:lineRule="auto"/>
            </w:pPr>
            <w:r>
              <w:rPr>
                <w:sz w:val="18"/>
              </w:rPr>
              <w:t>a verified counter-witness establishes that a mandatory condition fails.</w:t>
            </w:r>
          </w:p>
        </w:tc>
      </w:tr>
      <w:tr>
        <w:trPr>
          <w:cantSplit/>
        </w:trPr>
        <w:tc>
          <w:tcPr>
            <w:tcW w:type="dxa" w:w="1800"/>
            <w:tcMar>
              <w:top w:w="80" w:type="dxa"/>
              <w:start w:w="120" w:type="dxa"/>
              <w:bottom w:w="80" w:type="dxa"/>
              <w:end w:w="120" w:type="dxa"/>
            </w:tcMar>
            <w:vAlign w:val="top"/>
          </w:tcPr>
          <w:p>
            <w:pPr>
              <w:spacing w:after="0" w:line="276" w:lineRule="auto"/>
            </w:pPr>
            <w:r>
              <w:rPr>
                <w:sz w:val="18"/>
              </w:rPr>
              <w:t>OPEN —</w:t>
            </w:r>
          </w:p>
        </w:tc>
        <w:tc>
          <w:tcPr>
            <w:tcW w:type="dxa" w:w="7560"/>
            <w:tcMar>
              <w:top w:w="80" w:type="dxa"/>
              <w:start w:w="120" w:type="dxa"/>
              <w:bottom w:w="80" w:type="dxa"/>
              <w:end w:w="120" w:type="dxa"/>
            </w:tcMar>
            <w:vAlign w:val="top"/>
          </w:tcPr>
          <w:p>
            <w:pPr>
              <w:spacing w:after="0" w:line="276" w:lineRule="auto"/>
            </w:pPr>
            <w:r>
              <w:rPr>
                <w:sz w:val="18"/>
              </w:rPr>
              <w:t>neither success nor verified failure is earned. A typed OpenCertificate binds the first detected break, deepest independently verified prefix or NONE_EARNED, disclosed remaining obligations, smallest affected Return scope, reverse evidence, and earliest lawful reentry. No Standing or Effect is inferred.</w:t>
            </w:r>
          </w:p>
        </w:tc>
      </w:tr>
    </w:tbl>
    <w:p>
      <w:pPr>
        <w:spacing w:after="0" w:line="168" w:lineRule="auto"/>
      </w:pPr>
    </w:p>
    <w:tbl>
      <w:tblPr>
        <w:tblStyle w:val="TableGrid"/>
        <w:tblW w:type="dxa" w:w="9360"/>
        <w:tblLayout w:type="fixed"/>
        <w:tblLook w:firstColumn="1" w:firstRow="1" w:lastColumn="0" w:lastRow="0" w:noHBand="0" w:noVBand="1" w:val="04A0"/>
        <w:jc w:val="center"/>
        <w:tblInd w:w="120" w:type="dxa"/>
      </w:tblPr>
      <w:tblGrid>
        <w:gridCol w:w="1944"/>
        <w:gridCol w:w="7416"/>
      </w:tblGrid>
      <w:tr>
        <w:trPr>
          <w:tblHeader/>
          <w:cantSplit/>
        </w:trPr>
        <w:tc>
          <w:tcPr>
            <w:tcW w:type="dxa" w:w="1944"/>
            <w:shd w:fill="DCE9F3"/>
            <w:tcMar>
              <w:top w:w="80" w:type="dxa"/>
              <w:start w:w="120" w:type="dxa"/>
              <w:bottom w:w="80" w:type="dxa"/>
              <w:end w:w="120" w:type="dxa"/>
            </w:tcMar>
            <w:vAlign w:val="center"/>
          </w:tcPr>
          <w:p>
            <w:pPr>
              <w:spacing w:after="0"/>
            </w:pPr>
            <w:r>
              <w:rPr>
                <w:b/>
                <w:color w:val="17324D"/>
                <w:sz w:val="18"/>
              </w:rPr>
              <w:t>Operator</w:t>
            </w:r>
          </w:p>
        </w:tc>
        <w:tc>
          <w:tcPr>
            <w:tcW w:type="dxa" w:w="7416"/>
            <w:shd w:fill="DCE9F3"/>
            <w:tcMar>
              <w:top w:w="80" w:type="dxa"/>
              <w:start w:w="120" w:type="dxa"/>
              <w:bottom w:w="80" w:type="dxa"/>
              <w:end w:w="120" w:type="dxa"/>
            </w:tcMar>
            <w:vAlign w:val="center"/>
          </w:tcPr>
          <w:p>
            <w:pPr>
              <w:spacing w:after="0"/>
            </w:pPr>
            <w:r>
              <w:rPr>
                <w:b/>
                <w:color w:val="17324D"/>
                <w:sz w:val="18"/>
              </w:rPr>
              <w:t>Job</w:t>
            </w:r>
          </w:p>
        </w:tc>
      </w:tr>
      <w:tr>
        <w:trPr>
          <w:cantSplit/>
        </w:trPr>
        <w:tc>
          <w:tcPr>
            <w:tcW w:type="dxa" w:w="1944"/>
            <w:tcMar>
              <w:top w:w="80" w:type="dxa"/>
              <w:start w:w="120" w:type="dxa"/>
              <w:bottom w:w="80" w:type="dxa"/>
              <w:end w:w="120" w:type="dxa"/>
            </w:tcMar>
            <w:vAlign w:val="top"/>
          </w:tcPr>
          <w:p>
            <w:pPr>
              <w:spacing w:after="0" w:line="276" w:lineRule="auto"/>
            </w:pPr>
            <w:r>
              <w:rPr>
                <w:sz w:val="18"/>
              </w:rPr>
              <w:t>Contextualize</w:t>
            </w:r>
          </w:p>
        </w:tc>
        <w:tc>
          <w:tcPr>
            <w:tcW w:type="dxa" w:w="7416"/>
            <w:tcMar>
              <w:top w:w="80" w:type="dxa"/>
              <w:start w:w="120" w:type="dxa"/>
              <w:bottom w:w="80" w:type="dxa"/>
              <w:end w:w="120" w:type="dxa"/>
            </w:tcMar>
            <w:vAlign w:val="top"/>
          </w:tcPr>
          <w:p>
            <w:pPr>
              <w:spacing w:after="0" w:line="276" w:lineRule="auto"/>
            </w:pPr>
            <w:r>
              <w:rPr>
                <w:sz w:val="18"/>
              </w:rPr>
              <w:t>Contextualize computes and verifies the exact dependency slice required by the Demand and operator.</w:t>
            </w:r>
          </w:p>
        </w:tc>
      </w:tr>
      <w:tr>
        <w:trPr>
          <w:cantSplit/>
        </w:trPr>
        <w:tc>
          <w:tcPr>
            <w:tcW w:type="dxa" w:w="1944"/>
            <w:tcMar>
              <w:top w:w="80" w:type="dxa"/>
              <w:start w:w="120" w:type="dxa"/>
              <w:bottom w:w="80" w:type="dxa"/>
              <w:end w:w="120" w:type="dxa"/>
            </w:tcMar>
            <w:vAlign w:val="top"/>
          </w:tcPr>
          <w:p>
            <w:pPr>
              <w:spacing w:after="0" w:line="276" w:lineRule="auto"/>
            </w:pPr>
            <w:r>
              <w:rPr>
                <w:sz w:val="18"/>
              </w:rPr>
              <w:t>Judge</w:t>
            </w:r>
          </w:p>
        </w:tc>
        <w:tc>
          <w:tcPr>
            <w:tcW w:type="dxa" w:w="7416"/>
            <w:tcMar>
              <w:top w:w="80" w:type="dxa"/>
              <w:start w:w="120" w:type="dxa"/>
              <w:bottom w:w="80" w:type="dxa"/>
              <w:end w:w="120" w:type="dxa"/>
            </w:tcMar>
            <w:vAlign w:val="top"/>
          </w:tcPr>
          <w:p>
            <w:pPr>
              <w:spacing w:after="0" w:line="276" w:lineRule="auto"/>
            </w:pPr>
            <w:r>
              <w:rPr>
                <w:sz w:val="18"/>
              </w:rPr>
              <w:t>Judge invokes only the local Regime's declared rule and verifier; CRA supplies no universal truth engine.</w:t>
            </w:r>
          </w:p>
        </w:tc>
      </w:tr>
      <w:tr>
        <w:trPr>
          <w:cantSplit/>
        </w:trPr>
        <w:tc>
          <w:tcPr>
            <w:tcW w:type="dxa" w:w="1944"/>
            <w:tcMar>
              <w:top w:w="80" w:type="dxa"/>
              <w:start w:w="120" w:type="dxa"/>
              <w:bottom w:w="80" w:type="dxa"/>
              <w:end w:w="120" w:type="dxa"/>
            </w:tcMar>
            <w:vAlign w:val="top"/>
          </w:tcPr>
          <w:p>
            <w:pPr>
              <w:spacing w:after="0" w:line="276" w:lineRule="auto"/>
            </w:pPr>
            <w:r>
              <w:rPr>
                <w:sz w:val="18"/>
              </w:rPr>
              <w:t>Apply</w:t>
            </w:r>
          </w:p>
        </w:tc>
        <w:tc>
          <w:tcPr>
            <w:tcW w:type="dxa" w:w="7416"/>
            <w:tcMar>
              <w:top w:w="80" w:type="dxa"/>
              <w:start w:w="120" w:type="dxa"/>
              <w:bottom w:w="80" w:type="dxa"/>
              <w:end w:w="120" w:type="dxa"/>
            </w:tcMar>
            <w:vAlign w:val="top"/>
          </w:tcPr>
          <w:p>
            <w:pPr>
              <w:spacing w:after="0" w:line="276" w:lineRule="auto"/>
            </w:pPr>
            <w:r>
              <w:rPr>
                <w:sz w:val="18"/>
              </w:rPr>
              <w:t>Apply transports only typed material and declared guarantees, accounts for every consequence, and produces a nonauthoritative destination Basis.</w:t>
            </w:r>
          </w:p>
        </w:tc>
      </w:tr>
      <w:tr>
        <w:trPr>
          <w:cantSplit/>
        </w:trPr>
        <w:tc>
          <w:tcPr>
            <w:tcW w:type="dxa" w:w="1944"/>
            <w:tcMar>
              <w:top w:w="80" w:type="dxa"/>
              <w:start w:w="120" w:type="dxa"/>
              <w:bottom w:w="80" w:type="dxa"/>
              <w:end w:w="120" w:type="dxa"/>
            </w:tcMar>
            <w:vAlign w:val="top"/>
          </w:tcPr>
          <w:p>
            <w:pPr>
              <w:spacing w:after="0" w:line="276" w:lineRule="auto"/>
            </w:pPr>
            <w:r>
              <w:rPr>
                <w:sz w:val="18"/>
              </w:rPr>
              <w:t>Admit</w:t>
            </w:r>
          </w:p>
        </w:tc>
        <w:tc>
          <w:tcPr>
            <w:tcW w:type="dxa" w:w="7416"/>
            <w:tcMar>
              <w:top w:w="80" w:type="dxa"/>
              <w:start w:w="120" w:type="dxa"/>
              <w:bottom w:w="80" w:type="dxa"/>
              <w:end w:w="120" w:type="dxa"/>
            </w:tcMar>
            <w:vAlign w:val="top"/>
          </w:tcPr>
          <w:p>
            <w:pPr>
              <w:spacing w:after="0" w:line="276" w:lineRule="auto"/>
            </w:pPr>
            <w:r>
              <w:rPr>
                <w:sz w:val="18"/>
              </w:rPr>
              <w:t>Admit uses destination policy and trust-anchored authority to issue bounded Standing; source Standing never substitutes.</w:t>
            </w:r>
          </w:p>
        </w:tc>
      </w:tr>
      <w:tr>
        <w:trPr>
          <w:cantSplit/>
        </w:trPr>
        <w:tc>
          <w:tcPr>
            <w:tcW w:type="dxa" w:w="1944"/>
            <w:tcMar>
              <w:top w:w="80" w:type="dxa"/>
              <w:start w:w="120" w:type="dxa"/>
              <w:bottom w:w="80" w:type="dxa"/>
              <w:end w:w="120" w:type="dxa"/>
            </w:tcMar>
            <w:vAlign w:val="top"/>
          </w:tcPr>
          <w:p>
            <w:pPr>
              <w:spacing w:after="0" w:line="276" w:lineRule="auto"/>
            </w:pPr>
            <w:r>
              <w:rPr>
                <w:sz w:val="18"/>
              </w:rPr>
              <w:t>Compose</w:t>
            </w:r>
          </w:p>
        </w:tc>
        <w:tc>
          <w:tcPr>
            <w:tcW w:type="dxa" w:w="7416"/>
            <w:tcMar>
              <w:top w:w="80" w:type="dxa"/>
              <w:start w:w="120" w:type="dxa"/>
              <w:bottom w:w="80" w:type="dxa"/>
              <w:end w:w="120" w:type="dxa"/>
            </w:tcMar>
            <w:vAlign w:val="top"/>
          </w:tcPr>
          <w:p>
            <w:pPr>
              <w:spacing w:after="0" w:line="276" w:lineRule="auto"/>
            </w:pPr>
            <w:r>
              <w:rPr>
                <w:sz w:val="18"/>
              </w:rPr>
              <w:t>Compose exists only where interfaces close. Loss and error accumulate, assumptions remain visible, authority attenuates, and path equality requires a coherence witness.</w:t>
            </w:r>
          </w:p>
        </w:tc>
      </w:tr>
      <w:tr>
        <w:trPr>
          <w:cantSplit/>
        </w:trPr>
        <w:tc>
          <w:tcPr>
            <w:tcW w:type="dxa" w:w="1944"/>
            <w:tcMar>
              <w:top w:w="80" w:type="dxa"/>
              <w:start w:w="120" w:type="dxa"/>
              <w:bottom w:w="80" w:type="dxa"/>
              <w:end w:w="120" w:type="dxa"/>
            </w:tcMar>
            <w:vAlign w:val="top"/>
          </w:tcPr>
          <w:p>
            <w:pPr>
              <w:spacing w:after="0" w:line="276" w:lineRule="auto"/>
            </w:pPr>
            <w:r>
              <w:rPr>
                <w:sz w:val="18"/>
              </w:rPr>
              <w:t>Reassess</w:t>
            </w:r>
          </w:p>
        </w:tc>
        <w:tc>
          <w:tcPr>
            <w:tcW w:type="dxa" w:w="7416"/>
            <w:tcMar>
              <w:top w:w="80" w:type="dxa"/>
              <w:start w:w="120" w:type="dxa"/>
              <w:bottom w:w="80" w:type="dxa"/>
              <w:end w:w="120" w:type="dxa"/>
            </w:tcMar>
            <w:vAlign w:val="top"/>
          </w:tcPr>
          <w:p>
            <w:pPr>
              <w:spacing w:after="0" w:line="276" w:lineRule="auto"/>
            </w:pPr>
            <w:r>
              <w:rPr>
                <w:sz w:val="18"/>
              </w:rPr>
              <w:t>Reassess permits a lawful no-op only when all result-changing dependencies remain equivalent and valid; otherwise it returns OPEN or requires fresh local earning.</w:t>
            </w:r>
          </w:p>
        </w:tc>
      </w:tr>
    </w:tbl>
    <w:p>
      <w:pPr>
        <w:spacing w:after="0" w:line="168" w:lineRule="auto"/>
      </w:pPr>
    </w:p>
    <w:p>
      <w:pPr/>
      <w:r>
        <w:t>Context is derived, not selected by hand: it is the certified Demand/operator-relative dependency slice of a Basis.</w:t>
      </w:r>
    </w:p>
    <w:p>
      <w:pPr/>
      <w:r>
        <w:t>A Claim remains a native typed value inside its Regime. Matching strings or bytes across Regimes do not establish matching meaning.</w:t>
      </w:r>
    </w:p>
    <w:p>
      <w:pPr/>
      <w:r>
        <w:t>Rebinding is derived: contextualize source, apply a Correspondence, contextualize destination, Judge locally, then Admit locally. It creates no authority of its own.</w:t>
      </w:r>
    </w:p>
    <w:p>
      <w:pPr/>
      <w:r>
        <w:t>A changed Basis reopens any result whose certified semantic, justificatory, authority, obligation, temporal, or effect dependencies may have changed. Fingerprint equality alone is insufficient.</w:t>
      </w:r>
    </w:p>
    <w:p>
      <w:pPr>
        <w:pStyle w:val="Heading1"/>
      </w:pPr>
      <w:r>
        <w:t>OPEN is an exact return</w:t>
      </w:r>
    </w:p>
    <w:p>
      <w:r>
        <w:t>Exact noncompletion is now a typed return, not a null. Every OPEN result identifies the first failed prerequisite, preserves the deepest independently verified prefix or names NONE_EARNED, carries disclosed live obligations, localizes the affected Return, reconstructs the break backward, and names the earliest lawful reentry.</w:t>
      </w:r>
    </w:p>
    <w:tbl>
      <w:tblPr>
        <w:tblStyle w:val="TableGrid"/>
        <w:tblW w:type="dxa" w:w="9360"/>
        <w:tblLayout w:type="fixed"/>
        <w:tblLook w:firstColumn="1" w:firstRow="1" w:lastColumn="0" w:lastRow="0" w:noHBand="0" w:noVBand="1" w:val="04A0"/>
        <w:jc w:val="center"/>
        <w:tblInd w:w="120" w:type="dxa"/>
      </w:tblPr>
      <w:tblGrid>
        <w:gridCol w:w="2088"/>
        <w:gridCol w:w="7272"/>
      </w:tblGrid>
      <w:tr>
        <w:trPr>
          <w:tblHeader/>
          <w:cantSplit/>
        </w:trPr>
        <w:tc>
          <w:tcPr>
            <w:tcW w:type="dxa" w:w="2088"/>
            <w:shd w:fill="DCE9F3"/>
            <w:tcMar>
              <w:top w:w="80" w:type="dxa"/>
              <w:start w:w="120" w:type="dxa"/>
              <w:bottom w:w="80" w:type="dxa"/>
              <w:end w:w="120" w:type="dxa"/>
            </w:tcMar>
            <w:vAlign w:val="center"/>
          </w:tcPr>
          <w:p>
            <w:pPr>
              <w:spacing w:after="0"/>
            </w:pPr>
            <w:r>
              <w:rPr>
                <w:b/>
                <w:color w:val="17324D"/>
                <w:sz w:val="18"/>
              </w:rPr>
              <w:t>Certificate field</w:t>
            </w:r>
          </w:p>
        </w:tc>
        <w:tc>
          <w:tcPr>
            <w:tcW w:type="dxa" w:w="7272"/>
            <w:shd w:fill="DCE9F3"/>
            <w:tcMar>
              <w:top w:w="80" w:type="dxa"/>
              <w:start w:w="120" w:type="dxa"/>
              <w:bottom w:w="80" w:type="dxa"/>
              <w:end w:w="120" w:type="dxa"/>
            </w:tcMar>
            <w:vAlign w:val="center"/>
          </w:tcPr>
          <w:p>
            <w:pPr>
              <w:spacing w:after="0"/>
            </w:pPr>
            <w:r>
              <w:rPr>
                <w:b/>
                <w:color w:val="17324D"/>
                <w:sz w:val="18"/>
              </w:rPr>
              <w:t>Finite v1.1 meaning</w:t>
            </w:r>
          </w:p>
        </w:tc>
      </w:tr>
      <w:tr>
        <w:trPr>
          <w:cantSplit/>
        </w:trPr>
        <w:tc>
          <w:tcPr>
            <w:tcW w:type="dxa" w:w="2088"/>
            <w:tcMar>
              <w:top w:w="80" w:type="dxa"/>
              <w:start w:w="120" w:type="dxa"/>
              <w:bottom w:w="80" w:type="dxa"/>
              <w:end w:w="120" w:type="dxa"/>
            </w:tcMar>
            <w:vAlign w:val="top"/>
          </w:tcPr>
          <w:p>
            <w:pPr>
              <w:spacing w:after="0" w:line="276" w:lineRule="auto"/>
            </w:pPr>
            <w:r>
              <w:rPr>
                <w:sz w:val="18"/>
              </w:rPr>
              <w:t>First break</w:t>
            </w:r>
          </w:p>
        </w:tc>
        <w:tc>
          <w:tcPr>
            <w:tcW w:type="dxa" w:w="7272"/>
            <w:tcMar>
              <w:top w:w="80" w:type="dxa"/>
              <w:start w:w="120" w:type="dxa"/>
              <w:bottom w:w="80" w:type="dxa"/>
              <w:end w:w="120" w:type="dxa"/>
            </w:tcMar>
            <w:vAlign w:val="top"/>
          </w:tcPr>
          <w:p>
            <w:pPr>
              <w:spacing w:after="0" w:line="276" w:lineRule="auto"/>
            </w:pPr>
            <w:r>
              <w:rPr>
                <w:sz w:val="18"/>
              </w:rPr>
              <w:t>The first unavailable prerequisite in the fail-fast operator order, with exact failure code and dependency reference.</w:t>
            </w:r>
          </w:p>
        </w:tc>
      </w:tr>
      <w:tr>
        <w:trPr>
          <w:cantSplit/>
        </w:trPr>
        <w:tc>
          <w:tcPr>
            <w:tcW w:type="dxa" w:w="2088"/>
            <w:tcMar>
              <w:top w:w="80" w:type="dxa"/>
              <w:start w:w="120" w:type="dxa"/>
              <w:bottom w:w="80" w:type="dxa"/>
              <w:end w:w="120" w:type="dxa"/>
            </w:tcMar>
            <w:vAlign w:val="top"/>
          </w:tcPr>
          <w:p>
            <w:pPr>
              <w:spacing w:after="0" w:line="276" w:lineRule="auto"/>
            </w:pPr>
            <w:r>
              <w:rPr>
                <w:sz w:val="18"/>
              </w:rPr>
              <w:t>Weaker result</w:t>
            </w:r>
          </w:p>
        </w:tc>
        <w:tc>
          <w:tcPr>
            <w:tcW w:type="dxa" w:w="7272"/>
            <w:tcMar>
              <w:top w:w="80" w:type="dxa"/>
              <w:start w:w="120" w:type="dxa"/>
              <w:bottom w:w="80" w:type="dxa"/>
              <w:end w:w="120" w:type="dxa"/>
            </w:tcMar>
            <w:vAlign w:val="top"/>
          </w:tcPr>
          <w:p>
            <w:pPr>
              <w:spacing w:after="0" w:line="276" w:lineRule="auto"/>
            </w:pPr>
            <w:r>
              <w:rPr>
                <w:sz w:val="18"/>
              </w:rPr>
              <w:t>The deepest independently verified proof artifact, or the explicit value NONE_EARNED.</w:t>
            </w:r>
          </w:p>
        </w:tc>
      </w:tr>
      <w:tr>
        <w:trPr>
          <w:cantSplit/>
        </w:trPr>
        <w:tc>
          <w:tcPr>
            <w:tcW w:type="dxa" w:w="2088"/>
            <w:tcMar>
              <w:top w:w="80" w:type="dxa"/>
              <w:start w:w="120" w:type="dxa"/>
              <w:bottom w:w="80" w:type="dxa"/>
              <w:end w:w="120" w:type="dxa"/>
            </w:tcMar>
            <w:vAlign w:val="top"/>
          </w:tcPr>
          <w:p>
            <w:pPr>
              <w:spacing w:after="0" w:line="276" w:lineRule="auto"/>
            </w:pPr>
            <w:r>
              <w:rPr>
                <w:sz w:val="18"/>
              </w:rPr>
              <w:t>Obligations</w:t>
            </w:r>
          </w:p>
        </w:tc>
        <w:tc>
          <w:tcPr>
            <w:tcW w:type="dxa" w:w="7272"/>
            <w:tcMar>
              <w:top w:w="80" w:type="dxa"/>
              <w:start w:w="120" w:type="dxa"/>
              <w:bottom w:w="80" w:type="dxa"/>
              <w:end w:w="120" w:type="dxa"/>
            </w:tcMar>
            <w:vAlign w:val="top"/>
          </w:tcPr>
          <w:p>
            <w:pPr>
              <w:spacing w:after="0" w:line="276" w:lineRule="auto"/>
            </w:pPr>
            <w:r>
              <w:rPr>
                <w:sz w:val="18"/>
              </w:rPr>
              <w:t>The detected proof obligation plus live resource obligations disclosed by validated Basis closures.</w:t>
            </w:r>
          </w:p>
        </w:tc>
      </w:tr>
      <w:tr>
        <w:trPr>
          <w:cantSplit/>
        </w:trPr>
        <w:tc>
          <w:tcPr>
            <w:tcW w:type="dxa" w:w="2088"/>
            <w:tcMar>
              <w:top w:w="80" w:type="dxa"/>
              <w:start w:w="120" w:type="dxa"/>
              <w:bottom w:w="80" w:type="dxa"/>
              <w:end w:w="120" w:type="dxa"/>
            </w:tcMar>
            <w:vAlign w:val="top"/>
          </w:tcPr>
          <w:p>
            <w:pPr>
              <w:spacing w:after="0" w:line="276" w:lineRule="auto"/>
            </w:pPr>
            <w:r>
              <w:rPr>
                <w:sz w:val="18"/>
              </w:rPr>
              <w:t>Return scope</w:t>
            </w:r>
          </w:p>
        </w:tc>
        <w:tc>
          <w:tcPr>
            <w:tcW w:type="dxa" w:w="7272"/>
            <w:tcMar>
              <w:top w:w="80" w:type="dxa"/>
              <w:start w:w="120" w:type="dxa"/>
              <w:bottom w:w="80" w:type="dxa"/>
              <w:end w:w="120" w:type="dxa"/>
            </w:tcMar>
            <w:vAlign w:val="top"/>
          </w:tcPr>
          <w:p>
            <w:pPr>
              <w:spacing w:after="0" w:line="276" w:lineRule="auto"/>
            </w:pPr>
            <w:r>
              <w:rPr>
                <w:sz w:val="18"/>
              </w:rPr>
              <w:t>Only the destination Demand component or typed operator Return reached by the break.</w:t>
            </w:r>
          </w:p>
        </w:tc>
      </w:tr>
      <w:tr>
        <w:trPr>
          <w:cantSplit/>
        </w:trPr>
        <w:tc>
          <w:tcPr>
            <w:tcW w:type="dxa" w:w="2088"/>
            <w:tcMar>
              <w:top w:w="80" w:type="dxa"/>
              <w:start w:w="120" w:type="dxa"/>
              <w:bottom w:w="80" w:type="dxa"/>
              <w:end w:w="120" w:type="dxa"/>
            </w:tcMar>
            <w:vAlign w:val="top"/>
          </w:tcPr>
          <w:p>
            <w:pPr>
              <w:spacing w:after="0" w:line="276" w:lineRule="auto"/>
            </w:pPr>
            <w:r>
              <w:rPr>
                <w:sz w:val="18"/>
              </w:rPr>
              <w:t>Reverse evidence</w:t>
            </w:r>
          </w:p>
        </w:tc>
        <w:tc>
          <w:tcPr>
            <w:tcW w:type="dxa" w:w="7272"/>
            <w:tcMar>
              <w:top w:w="80" w:type="dxa"/>
              <w:start w:w="120" w:type="dxa"/>
              <w:bottom w:w="80" w:type="dxa"/>
              <w:end w:w="120" w:type="dxa"/>
            </w:tcMar>
            <w:vAlign w:val="top"/>
          </w:tcPr>
          <w:p>
            <w:pPr>
              <w:spacing w:after="0" w:line="276" w:lineRule="auto"/>
            </w:pPr>
            <w:r>
              <w:rPr>
                <w:sz w:val="18"/>
              </w:rPr>
              <w:t>Content-bound reconstruction of the verified prefix, break, and dependency reference.</w:t>
            </w:r>
          </w:p>
        </w:tc>
      </w:tr>
      <w:tr>
        <w:trPr>
          <w:cantSplit/>
        </w:trPr>
        <w:tc>
          <w:tcPr>
            <w:tcW w:type="dxa" w:w="2088"/>
            <w:tcMar>
              <w:top w:w="80" w:type="dxa"/>
              <w:start w:w="120" w:type="dxa"/>
              <w:bottom w:w="80" w:type="dxa"/>
              <w:end w:w="120" w:type="dxa"/>
            </w:tcMar>
            <w:vAlign w:val="top"/>
          </w:tcPr>
          <w:p>
            <w:pPr>
              <w:spacing w:after="0" w:line="276" w:lineRule="auto"/>
            </w:pPr>
            <w:r>
              <w:rPr>
                <w:sz w:val="18"/>
              </w:rPr>
              <w:t>Reentry</w:t>
            </w:r>
          </w:p>
        </w:tc>
        <w:tc>
          <w:tcPr>
            <w:tcW w:type="dxa" w:w="7272"/>
            <w:tcMar>
              <w:top w:w="80" w:type="dxa"/>
              <w:start w:w="120" w:type="dxa"/>
              <w:bottom w:w="80" w:type="dxa"/>
              <w:end w:w="120" w:type="dxa"/>
            </w:tcMar>
            <w:vAlign w:val="top"/>
          </w:tcPr>
          <w:p>
            <w:pPr>
              <w:spacing w:after="0" w:line="276" w:lineRule="auto"/>
            </w:pPr>
            <w:r>
              <w:rPr>
                <w:sz w:val="18"/>
              </w:rPr>
              <w:t>The earliest invalidated dependency and its lawful recovery action—not a claim of globally minimum edit distance.</w:t>
            </w:r>
          </w:p>
        </w:tc>
      </w:tr>
    </w:tbl>
    <w:p>
      <w:pPr>
        <w:spacing w:after="0" w:line="168" w:lineRule="auto"/>
      </w:pPr>
    </w:p>
    <w:p>
      <w:r>
        <w:rPr>
          <w:i/>
        </w:rPr>
        <w:t>The finite interpreter is fail-fast. It certifies the first unavailable prerequisite plus live obligations already disclosed by validated Bases; it does not claim open-world blocker discovery or globally minimum repair.</w:t>
      </w:r>
    </w:p>
    <w:p>
      <w:pPr>
        <w:pStyle w:val="Heading1"/>
      </w:pPr>
      <w:r>
        <w:t>Correspondence and accounting</w:t>
      </w:r>
    </w:p>
    <w:p>
      <w:r>
        <w:t>A semantic guarantee is checked over a declared domain. Forward preservation, backward reflection, exactness, and bounded approximation are different promises; a mapping table by itself promises none of them.</w:t>
      </w:r>
    </w:p>
    <w:p>
      <w:r>
        <w:t>Accounting uses occurrences, not values: equal values with different lineages remain distinct. Empty-source introductions and empty-target losses require witnesses; local resource laws govern reuse, transfer, discharge, and attenuation.</w:t>
      </w:r>
    </w:p>
    <w:p>
      <w:pPr>
        <w:pStyle w:val="Heading1"/>
      </w:pPr>
      <w:r>
        <w:t>Profiles, not kinds</w:t>
      </w:r>
    </w:p>
    <w:p>
      <w:r>
        <w:t>Operations are compositions of orthogonal dimensions—arity, semantic relation, topology, substrate, lineage, world coupling, and recovery—not members of one mutually exclusive kind list. Formation permits zero predecessors.</w:t>
      </w:r>
    </w:p>
    <w:tbl>
      <w:tblPr>
        <w:tblStyle w:val="TableGrid"/>
        <w:tblW w:type="dxa" w:w="9360"/>
        <w:tblLayout w:type="fixed"/>
        <w:tblLook w:firstColumn="1" w:firstRow="1" w:lastColumn="0" w:lastRow="0" w:noHBand="0" w:noVBand="1" w:val="04A0"/>
        <w:jc w:val="center"/>
        <w:tblInd w:w="120" w:type="dxa"/>
      </w:tblPr>
      <w:tblGrid>
        <w:gridCol w:w="1944"/>
        <w:gridCol w:w="7416"/>
      </w:tblGrid>
      <w:tr>
        <w:trPr>
          <w:tblHeader/>
          <w:cantSplit/>
        </w:trPr>
        <w:tc>
          <w:tcPr>
            <w:tcW w:type="dxa" w:w="1944"/>
            <w:shd w:fill="DCE9F3"/>
            <w:tcMar>
              <w:top w:w="80" w:type="dxa"/>
              <w:start w:w="120" w:type="dxa"/>
              <w:bottom w:w="80" w:type="dxa"/>
              <w:end w:w="120" w:type="dxa"/>
            </w:tcMar>
            <w:vAlign w:val="center"/>
          </w:tcPr>
          <w:p>
            <w:pPr>
              <w:spacing w:after="0"/>
            </w:pPr>
            <w:r>
              <w:rPr>
                <w:b/>
                <w:color w:val="17324D"/>
                <w:sz w:val="18"/>
              </w:rPr>
              <w:t>Profile</w:t>
            </w:r>
          </w:p>
        </w:tc>
        <w:tc>
          <w:tcPr>
            <w:tcW w:type="dxa" w:w="7416"/>
            <w:shd w:fill="DCE9F3"/>
            <w:tcMar>
              <w:top w:w="80" w:type="dxa"/>
              <w:start w:w="120" w:type="dxa"/>
              <w:bottom w:w="80" w:type="dxa"/>
              <w:end w:w="120" w:type="dxa"/>
            </w:tcMar>
            <w:vAlign w:val="center"/>
          </w:tcPr>
          <w:p>
            <w:pPr>
              <w:spacing w:after="0"/>
            </w:pPr>
            <w:r>
              <w:rPr>
                <w:b/>
                <w:color w:val="17324D"/>
                <w:sz w:val="18"/>
              </w:rPr>
              <w:t>Additional proof duties</w:t>
            </w:r>
          </w:p>
        </w:tc>
      </w:tr>
      <w:tr>
        <w:trPr>
          <w:cantSplit/>
        </w:trPr>
        <w:tc>
          <w:tcPr>
            <w:tcW w:type="dxa" w:w="1944"/>
            <w:tcMar>
              <w:top w:w="80" w:type="dxa"/>
              <w:start w:w="120" w:type="dxa"/>
              <w:bottom w:w="80" w:type="dxa"/>
              <w:end w:w="120" w:type="dxa"/>
            </w:tcMar>
            <w:vAlign w:val="top"/>
          </w:tcPr>
          <w:p>
            <w:pPr>
              <w:spacing w:after="0" w:line="276" w:lineRule="auto"/>
            </w:pPr>
            <w:r>
              <w:rPr>
                <w:sz w:val="18"/>
              </w:rPr>
              <w:t>Pure representation —</w:t>
            </w:r>
          </w:p>
        </w:tc>
        <w:tc>
          <w:tcPr>
            <w:tcW w:type="dxa" w:w="7416"/>
            <w:tcMar>
              <w:top w:w="80" w:type="dxa"/>
              <w:start w:w="120" w:type="dxa"/>
              <w:bottom w:w="80" w:type="dxa"/>
              <w:end w:w="120" w:type="dxa"/>
            </w:tcMar>
            <w:vAlign w:val="top"/>
          </w:tcPr>
          <w:p>
            <w:pPr>
              <w:spacing w:after="0" w:line="276" w:lineRule="auto"/>
            </w:pPr>
            <w:r>
              <w:rPr>
                <w:sz w:val="18"/>
              </w:rPr>
              <w:t>finite local formation, unary translation, exact projection, and bounded cardinality-reducing compression are executed only in the named qualification cells; other representations require their own evidence.</w:t>
            </w:r>
          </w:p>
        </w:tc>
      </w:tr>
      <w:tr>
        <w:trPr>
          <w:cantSplit/>
        </w:trPr>
        <w:tc>
          <w:tcPr>
            <w:tcW w:type="dxa" w:w="1944"/>
            <w:tcMar>
              <w:top w:w="80" w:type="dxa"/>
              <w:start w:w="120" w:type="dxa"/>
              <w:bottom w:w="80" w:type="dxa"/>
              <w:end w:w="120" w:type="dxa"/>
            </w:tcMar>
            <w:vAlign w:val="top"/>
          </w:tcPr>
          <w:p>
            <w:pPr>
              <w:spacing w:after="0" w:line="276" w:lineRule="auto"/>
            </w:pPr>
            <w:r>
              <w:rPr>
                <w:sz w:val="18"/>
              </w:rPr>
              <w:t>Composition —</w:t>
            </w:r>
          </w:p>
        </w:tc>
        <w:tc>
          <w:tcPr>
            <w:tcW w:type="dxa" w:w="7416"/>
            <w:tcMar>
              <w:top w:w="80" w:type="dxa"/>
              <w:start w:w="120" w:type="dxa"/>
              <w:bottom w:w="80" w:type="dxa"/>
              <w:end w:w="120" w:type="dxa"/>
            </w:tcMar>
            <w:vAlign w:val="top"/>
          </w:tcPr>
          <w:p>
            <w:pPr>
              <w:spacing w:after="0" w:line="276" w:lineRule="auto"/>
            </w:pPr>
            <w:r>
              <w:rPr>
                <w:sz w:val="18"/>
              </w:rPr>
              <w:t>the reference profile executes exact two-hop semantic chains and exact auxiliary COPY_LICENSED, SPLIT, and MERGE accounts. Fan-in, fan-out, diamonds, cycles, and nested passage remain specified but not finitely executed.</w:t>
            </w:r>
          </w:p>
        </w:tc>
      </w:tr>
      <w:tr>
        <w:trPr>
          <w:cantSplit/>
        </w:trPr>
        <w:tc>
          <w:tcPr>
            <w:tcW w:type="dxa" w:w="1944"/>
            <w:tcMar>
              <w:top w:w="80" w:type="dxa"/>
              <w:start w:w="120" w:type="dxa"/>
              <w:bottom w:w="80" w:type="dxa"/>
              <w:end w:w="120" w:type="dxa"/>
            </w:tcMar>
            <w:vAlign w:val="top"/>
          </w:tcPr>
          <w:p>
            <w:pPr>
              <w:spacing w:after="0" w:line="276" w:lineRule="auto"/>
            </w:pPr>
            <w:r>
              <w:rPr>
                <w:sz w:val="18"/>
              </w:rPr>
              <w:t>Observation —</w:t>
            </w:r>
          </w:p>
        </w:tc>
        <w:tc>
          <w:tcPr>
            <w:tcW w:type="dxa" w:w="7416"/>
            <w:tcMar>
              <w:top w:w="80" w:type="dxa"/>
              <w:start w:w="120" w:type="dxa"/>
              <w:bottom w:w="80" w:type="dxa"/>
              <w:end w:w="120" w:type="dxa"/>
            </w:tcMar>
            <w:vAlign w:val="top"/>
          </w:tcPr>
          <w:p>
            <w:pPr>
              <w:spacing w:after="0" w:line="276" w:lineRule="auto"/>
            </w:pPr>
            <w:r>
              <w:rPr>
                <w:sz w:val="18"/>
              </w:rPr>
              <w:t>an independently occurring event may become admitted evidence, but occurrence, observation, attribution, Judgment, and Standing remain separate.</w:t>
            </w:r>
          </w:p>
        </w:tc>
      </w:tr>
      <w:tr>
        <w:trPr>
          <w:cantSplit/>
        </w:trPr>
        <w:tc>
          <w:tcPr>
            <w:tcW w:type="dxa" w:w="1944"/>
            <w:tcMar>
              <w:top w:w="80" w:type="dxa"/>
              <w:start w:w="120" w:type="dxa"/>
              <w:bottom w:w="80" w:type="dxa"/>
              <w:end w:w="120" w:type="dxa"/>
            </w:tcMar>
            <w:vAlign w:val="top"/>
          </w:tcPr>
          <w:p>
            <w:pPr>
              <w:spacing w:after="0" w:line="276" w:lineRule="auto"/>
            </w:pPr>
            <w:r>
              <w:rPr>
                <w:sz w:val="18"/>
              </w:rPr>
              <w:t>Local transaction —</w:t>
            </w:r>
          </w:p>
        </w:tc>
        <w:tc>
          <w:tcPr>
            <w:tcW w:type="dxa" w:w="7416"/>
            <w:tcMar>
              <w:top w:w="80" w:type="dxa"/>
              <w:start w:w="120" w:type="dxa"/>
              <w:bottom w:w="80" w:type="dxa"/>
              <w:end w:w="120" w:type="dxa"/>
            </w:tcMar>
            <w:vAlign w:val="top"/>
          </w:tcPr>
          <w:p>
            <w:pPr>
              <w:spacing w:after="0" w:line="276" w:lineRule="auto"/>
            </w:pPr>
            <w:r>
              <w:rPr>
                <w:sz w:val="18"/>
              </w:rPr>
              <w:t>atomicity, isolation, durability, and recovery are claimed only when a named storage regime supplies them.</w:t>
            </w:r>
          </w:p>
        </w:tc>
      </w:tr>
      <w:tr>
        <w:trPr>
          <w:cantSplit/>
        </w:trPr>
        <w:tc>
          <w:tcPr>
            <w:tcW w:type="dxa" w:w="1944"/>
            <w:tcMar>
              <w:top w:w="80" w:type="dxa"/>
              <w:start w:w="120" w:type="dxa"/>
              <w:bottom w:w="80" w:type="dxa"/>
              <w:end w:w="120" w:type="dxa"/>
            </w:tcMar>
            <w:vAlign w:val="top"/>
          </w:tcPr>
          <w:p>
            <w:pPr>
              <w:spacing w:after="0" w:line="276" w:lineRule="auto"/>
            </w:pPr>
            <w:r>
              <w:rPr>
                <w:sz w:val="18"/>
              </w:rPr>
              <w:t>World action —</w:t>
            </w:r>
          </w:p>
        </w:tc>
        <w:tc>
          <w:tcPr>
            <w:tcW w:type="dxa" w:w="7416"/>
            <w:tcMar>
              <w:top w:w="80" w:type="dxa"/>
              <w:start w:w="120" w:type="dxa"/>
              <w:bottom w:w="80" w:type="dxa"/>
              <w:end w:w="120" w:type="dxa"/>
            </w:tcMar>
            <w:vAlign w:val="top"/>
          </w:tcPr>
          <w:p>
            <w:pPr>
              <w:spacing w:after="0" w:line="276" w:lineRule="auto"/>
            </w:pPr>
            <w:r>
              <w:rPr>
                <w:sz w:val="18"/>
              </w:rPr>
              <w:t>authorization, attempt, execution, occurrence, observation, attribution, durability, compensation, and Standing are distinct. Crossing itself never changes the world.</w:t>
            </w:r>
          </w:p>
        </w:tc>
      </w:tr>
    </w:tbl>
    <w:p>
      <w:pPr>
        <w:spacing w:after="0" w:line="168" w:lineRule="auto"/>
      </w:pPr>
    </w:p>
    <w:p>
      <w:pPr>
        <w:pStyle w:val="Heading2"/>
      </w:pPr>
      <w:r>
        <w:t>Exact profile evidence</w:t>
      </w:r>
    </w:p>
    <w:p>
      <w:r>
        <w:t>Qualification is cell-scoped. An executed fixture earns only its named profile and exact dimension tuple; no cell promotes an unexecuted topology, resource relation, world stage, or external guarantee.</w:t>
      </w:r>
    </w:p>
    <w:tbl>
      <w:tblPr>
        <w:tblStyle w:val="TableGrid"/>
        <w:tblW w:type="dxa" w:w="9360"/>
        <w:tblLayout w:type="fixed"/>
        <w:tblLook w:firstColumn="1" w:firstRow="1" w:lastColumn="0" w:lastRow="0" w:noHBand="0" w:noVBand="1" w:val="04A0"/>
        <w:jc w:val="center"/>
        <w:tblInd w:w="120" w:type="dxa"/>
      </w:tblPr>
      <w:tblGrid>
        <w:gridCol w:w="1728"/>
        <w:gridCol w:w="1296"/>
        <w:gridCol w:w="1944"/>
        <w:gridCol w:w="4392"/>
      </w:tblGrid>
      <w:tr>
        <w:trPr>
          <w:tblHeader/>
          <w:cantSplit/>
        </w:trPr>
        <w:tc>
          <w:tcPr>
            <w:tcW w:type="dxa" w:w="1728"/>
            <w:shd w:fill="DCE9F3"/>
            <w:tcMar>
              <w:top w:w="80" w:type="dxa"/>
              <w:start w:w="120" w:type="dxa"/>
              <w:bottom w:w="80" w:type="dxa"/>
              <w:end w:w="120" w:type="dxa"/>
            </w:tcMar>
            <w:vAlign w:val="center"/>
          </w:tcPr>
          <w:p>
            <w:pPr>
              <w:spacing w:after="0"/>
            </w:pPr>
            <w:r>
              <w:rPr>
                <w:b/>
                <w:color w:val="17324D"/>
                <w:sz w:val="18"/>
              </w:rPr>
              <w:t>Cell</w:t>
            </w:r>
          </w:p>
        </w:tc>
        <w:tc>
          <w:tcPr>
            <w:tcW w:type="dxa" w:w="1296"/>
            <w:shd w:fill="DCE9F3"/>
            <w:tcMar>
              <w:top w:w="80" w:type="dxa"/>
              <w:start w:w="120" w:type="dxa"/>
              <w:bottom w:w="80" w:type="dxa"/>
              <w:end w:w="120" w:type="dxa"/>
            </w:tcMar>
            <w:vAlign w:val="center"/>
          </w:tcPr>
          <w:p>
            <w:pPr>
              <w:spacing w:after="0"/>
            </w:pPr>
            <w:r>
              <w:rPr>
                <w:b/>
                <w:color w:val="17324D"/>
                <w:sz w:val="18"/>
              </w:rPr>
              <w:t>Profile</w:t>
            </w:r>
          </w:p>
        </w:tc>
        <w:tc>
          <w:tcPr>
            <w:tcW w:type="dxa" w:w="1944"/>
            <w:shd w:fill="DCE9F3"/>
            <w:tcMar>
              <w:top w:w="80" w:type="dxa"/>
              <w:start w:w="120" w:type="dxa"/>
              <w:bottom w:w="80" w:type="dxa"/>
              <w:end w:w="120" w:type="dxa"/>
            </w:tcMar>
            <w:vAlign w:val="center"/>
          </w:tcPr>
          <w:p>
            <w:pPr>
              <w:spacing w:after="0"/>
            </w:pPr>
            <w:r>
              <w:rPr>
                <w:b/>
                <w:color w:val="17324D"/>
                <w:sz w:val="18"/>
              </w:rPr>
              <w:t>Status</w:t>
            </w:r>
          </w:p>
        </w:tc>
        <w:tc>
          <w:tcPr>
            <w:tcW w:type="dxa" w:w="4392"/>
            <w:shd w:fill="DCE9F3"/>
            <w:tcMar>
              <w:top w:w="80" w:type="dxa"/>
              <w:start w:w="120" w:type="dxa"/>
              <w:bottom w:w="80" w:type="dxa"/>
              <w:end w:w="120" w:type="dxa"/>
            </w:tcMar>
            <w:vAlign w:val="center"/>
          </w:tcPr>
          <w:p>
            <w:pPr>
              <w:spacing w:after="0"/>
            </w:pPr>
            <w:r>
              <w:rPr>
                <w:b/>
                <w:color w:val="17324D"/>
                <w:sz w:val="18"/>
              </w:rPr>
              <w:t>Exact dimensions and evidence</w:t>
            </w:r>
          </w:p>
        </w:tc>
      </w:tr>
      <w:tr>
        <w:trPr>
          <w:cantSplit/>
        </w:trPr>
        <w:tc>
          <w:tcPr>
            <w:tcW w:type="dxa" w:w="1728"/>
            <w:tcMar>
              <w:top w:w="80" w:type="dxa"/>
              <w:start w:w="120" w:type="dxa"/>
              <w:bottom w:w="80" w:type="dxa"/>
              <w:end w:w="120" w:type="dxa"/>
            </w:tcMar>
            <w:vAlign w:val="top"/>
          </w:tcPr>
          <w:p>
            <w:pPr>
              <w:spacing w:after="0" w:line="276" w:lineRule="auto"/>
            </w:pPr>
            <w:r>
              <w:rPr>
                <w:sz w:val="18"/>
              </w:rPr>
              <w:t>FORMATION</w:t>
            </w:r>
          </w:p>
        </w:tc>
        <w:tc>
          <w:tcPr>
            <w:tcW w:type="dxa" w:w="1296"/>
            <w:tcMar>
              <w:top w:w="80" w:type="dxa"/>
              <w:start w:w="120" w:type="dxa"/>
              <w:bottom w:w="80" w:type="dxa"/>
              <w:end w:w="120" w:type="dxa"/>
            </w:tcMar>
            <w:vAlign w:val="top"/>
          </w:tcPr>
          <w:p>
            <w:pPr>
              <w:spacing w:after="0" w:line="276" w:lineRule="auto"/>
            </w:pPr>
            <w:r>
              <w:rPr>
                <w:sz w:val="18"/>
              </w:rPr>
              <w:t>P-PURE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arity=zero-predecessor; semantic=formation; topology=single; substrate=none; lineage=origin; world=pure; recovery=reconstructible. Evidence: V-003-FORMATION.</w:t>
            </w:r>
          </w:p>
        </w:tc>
      </w:tr>
      <w:tr>
        <w:trPr>
          <w:cantSplit/>
        </w:trPr>
        <w:tc>
          <w:tcPr>
            <w:tcW w:type="dxa" w:w="1728"/>
            <w:tcMar>
              <w:top w:w="80" w:type="dxa"/>
              <w:start w:w="120" w:type="dxa"/>
              <w:bottom w:w="80" w:type="dxa"/>
              <w:end w:w="120" w:type="dxa"/>
            </w:tcMar>
            <w:vAlign w:val="top"/>
          </w:tcPr>
          <w:p>
            <w:pPr>
              <w:spacing w:after="0" w:line="276" w:lineRule="auto"/>
            </w:pPr>
            <w:r>
              <w:rPr>
                <w:sz w:val="18"/>
              </w:rPr>
              <w:t>UNARY-TRANSLATION</w:t>
            </w:r>
          </w:p>
        </w:tc>
        <w:tc>
          <w:tcPr>
            <w:tcW w:type="dxa" w:w="1296"/>
            <w:tcMar>
              <w:top w:w="80" w:type="dxa"/>
              <w:start w:w="120" w:type="dxa"/>
              <w:bottom w:w="80" w:type="dxa"/>
              <w:end w:w="120" w:type="dxa"/>
            </w:tcMar>
            <w:vAlign w:val="top"/>
          </w:tcPr>
          <w:p>
            <w:pPr>
              <w:spacing w:after="0" w:line="276" w:lineRule="auto"/>
            </w:pPr>
            <w:r>
              <w:rPr>
                <w:sz w:val="18"/>
              </w:rPr>
              <w:t>P-PURE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 semantic=translation; topology=chain; substrate=move; lineage=continuation; world=pure; recovery=invertible-fixture. Evidence: V-038-APPLY.</w:t>
            </w:r>
          </w:p>
        </w:tc>
      </w:tr>
      <w:tr>
        <w:trPr>
          <w:cantSplit/>
        </w:trPr>
        <w:tc>
          <w:tcPr>
            <w:tcW w:type="dxa" w:w="1728"/>
            <w:tcMar>
              <w:top w:w="80" w:type="dxa"/>
              <w:start w:w="120" w:type="dxa"/>
              <w:bottom w:w="80" w:type="dxa"/>
              <w:end w:w="120" w:type="dxa"/>
            </w:tcMar>
            <w:vAlign w:val="top"/>
          </w:tcPr>
          <w:p>
            <w:pPr>
              <w:spacing w:after="0" w:line="276" w:lineRule="auto"/>
            </w:pPr>
            <w:r>
              <w:rPr>
                <w:sz w:val="18"/>
              </w:rPr>
              <w:t>EXACT-PROJECTION</w:t>
            </w:r>
          </w:p>
        </w:tc>
        <w:tc>
          <w:tcPr>
            <w:tcW w:type="dxa" w:w="1296"/>
            <w:tcMar>
              <w:top w:w="80" w:type="dxa"/>
              <w:start w:w="120" w:type="dxa"/>
              <w:bottom w:w="80" w:type="dxa"/>
              <w:end w:w="120" w:type="dxa"/>
            </w:tcMar>
            <w:vAlign w:val="top"/>
          </w:tcPr>
          <w:p>
            <w:pPr>
              <w:spacing w:after="0" w:line="276" w:lineRule="auto"/>
            </w:pPr>
            <w:r>
              <w:rPr>
                <w:sz w:val="18"/>
              </w:rPr>
              <w:t>P-PURE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 semantic=projection; topology=chain; substrate=none; lineage=continuation; world=pure; recovery=exact-return. Evidence: V-007-PROJECTION.</w:t>
            </w:r>
          </w:p>
        </w:tc>
      </w:tr>
      <w:tr>
        <w:trPr>
          <w:cantSplit/>
        </w:trPr>
        <w:tc>
          <w:tcPr>
            <w:tcW w:type="dxa" w:w="1728"/>
            <w:tcMar>
              <w:top w:w="80" w:type="dxa"/>
              <w:start w:w="120" w:type="dxa"/>
              <w:bottom w:w="80" w:type="dxa"/>
              <w:end w:w="120" w:type="dxa"/>
            </w:tcMar>
            <w:vAlign w:val="top"/>
          </w:tcPr>
          <w:p>
            <w:pPr>
              <w:spacing w:after="0" w:line="276" w:lineRule="auto"/>
            </w:pPr>
            <w:r>
              <w:rPr>
                <w:sz w:val="18"/>
              </w:rPr>
              <w:t>BOUNDED-COMPRESSION</w:t>
            </w:r>
          </w:p>
        </w:tc>
        <w:tc>
          <w:tcPr>
            <w:tcW w:type="dxa" w:w="1296"/>
            <w:tcMar>
              <w:top w:w="80" w:type="dxa"/>
              <w:start w:w="120" w:type="dxa"/>
              <w:bottom w:w="80" w:type="dxa"/>
              <w:end w:w="120" w:type="dxa"/>
            </w:tcMar>
            <w:vAlign w:val="top"/>
          </w:tcPr>
          <w:p>
            <w:pPr>
              <w:spacing w:after="0" w:line="276" w:lineRule="auto"/>
            </w:pPr>
            <w:r>
              <w:rPr>
                <w:sz w:val="18"/>
              </w:rPr>
              <w:t>P-PURE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 semantic=compression; topology=chain; substrate=none; lineage=continuation; world=pure; recovery=typed-residual; view_cardinality=strictly-reduced. Evidence: V-177-BOUNDED-COMPRESSION.</w:t>
            </w:r>
          </w:p>
        </w:tc>
      </w:tr>
      <w:tr>
        <w:trPr>
          <w:cantSplit/>
        </w:trPr>
        <w:tc>
          <w:tcPr>
            <w:tcW w:type="dxa" w:w="1728"/>
            <w:tcMar>
              <w:top w:w="80" w:type="dxa"/>
              <w:start w:w="120" w:type="dxa"/>
              <w:bottom w:w="80" w:type="dxa"/>
              <w:end w:w="120" w:type="dxa"/>
            </w:tcMar>
            <w:vAlign w:val="top"/>
          </w:tcPr>
          <w:p>
            <w:pPr>
              <w:spacing w:after="0" w:line="276" w:lineRule="auto"/>
            </w:pPr>
            <w:r>
              <w:rPr>
                <w:sz w:val="18"/>
              </w:rPr>
              <w:t>TWO-HOP-CHAIN</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arity=unary-per-hop; semantic=translation; topology=two-hop-chain; substrate=none; lineage=continuation; world=pure; recovery=reverse-hops. Evidence: V-004-COMPOSE.</w:t>
            </w:r>
          </w:p>
        </w:tc>
      </w:tr>
      <w:tr>
        <w:trPr>
          <w:cantSplit/>
        </w:trPr>
        <w:tc>
          <w:tcPr>
            <w:tcW w:type="dxa" w:w="1728"/>
            <w:tcMar>
              <w:top w:w="80" w:type="dxa"/>
              <w:start w:w="120" w:type="dxa"/>
              <w:bottom w:w="80" w:type="dxa"/>
              <w:end w:w="120" w:type="dxa"/>
            </w:tcMar>
            <w:vAlign w:val="top"/>
          </w:tcPr>
          <w:p>
            <w:pPr>
              <w:spacing w:after="0" w:line="276" w:lineRule="auto"/>
            </w:pPr>
            <w:r>
              <w:rPr>
                <w:sz w:val="18"/>
              </w:rPr>
              <w:t>COPY</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 semantic=identity; topology=split; substrate=copy; account_relation=COPY_LICENSED; lineage=continuation; world=pure; recovery=value-equality. Evidence: V-178-PLURAL-ACCOUNT.</w:t>
            </w:r>
          </w:p>
        </w:tc>
      </w:tr>
      <w:tr>
        <w:trPr>
          <w:cantSplit/>
        </w:trPr>
        <w:tc>
          <w:tcPr>
            <w:tcW w:type="dxa" w:w="1728"/>
            <w:tcMar>
              <w:top w:w="80" w:type="dxa"/>
              <w:start w:w="120" w:type="dxa"/>
              <w:bottom w:w="80" w:type="dxa"/>
              <w:end w:w="120" w:type="dxa"/>
            </w:tcMar>
            <w:vAlign w:val="top"/>
          </w:tcPr>
          <w:p>
            <w:pPr>
              <w:spacing w:after="0" w:line="276" w:lineRule="auto"/>
            </w:pPr>
            <w:r>
              <w:rPr>
                <w:sz w:val="18"/>
              </w:rPr>
              <w:t>SPLIT</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arity=unary; semantic=partition; topology=split; substrate=none; account_relation=SPLIT; lineage=continuation; world=pure; recovery=exact-reconstruction. Evidence: V-178-PLURAL-ACCOUNT.</w:t>
            </w:r>
          </w:p>
        </w:tc>
      </w:tr>
      <w:tr>
        <w:trPr>
          <w:cantSplit/>
        </w:trPr>
        <w:tc>
          <w:tcPr>
            <w:tcW w:type="dxa" w:w="1728"/>
            <w:tcMar>
              <w:top w:w="80" w:type="dxa"/>
              <w:start w:w="120" w:type="dxa"/>
              <w:bottom w:w="80" w:type="dxa"/>
              <w:end w:w="120" w:type="dxa"/>
            </w:tcMar>
            <w:vAlign w:val="top"/>
          </w:tcPr>
          <w:p>
            <w:pPr>
              <w:spacing w:after="0" w:line="276" w:lineRule="auto"/>
            </w:pPr>
            <w:r>
              <w:rPr>
                <w:sz w:val="18"/>
              </w:rPr>
              <w:t>MERGE</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arity=plural; semantic=ordered-union; topology=merge; substrate=none; account_relation=MERGE; lineage=continuation; world=pure; recovery=source-list. Evidence: V-178-PLURAL-ACCOUNT.</w:t>
            </w:r>
          </w:p>
        </w:tc>
      </w:tr>
      <w:tr>
        <w:trPr>
          <w:cantSplit/>
        </w:trPr>
        <w:tc>
          <w:tcPr>
            <w:tcW w:type="dxa" w:w="1728"/>
            <w:tcMar>
              <w:top w:w="80" w:type="dxa"/>
              <w:start w:w="120" w:type="dxa"/>
              <w:bottom w:w="80" w:type="dxa"/>
              <w:end w:w="120" w:type="dxa"/>
            </w:tcMar>
            <w:vAlign w:val="top"/>
          </w:tcPr>
          <w:p>
            <w:pPr>
              <w:spacing w:after="0" w:line="276" w:lineRule="auto"/>
            </w:pPr>
            <w:r>
              <w:rPr>
                <w:sz w:val="18"/>
              </w:rPr>
              <w:t>FANOUT</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SPECIFIED NOT EXECUTED</w:t>
            </w:r>
          </w:p>
        </w:tc>
        <w:tc>
          <w:tcPr>
            <w:tcW w:type="dxa" w:w="4392"/>
            <w:tcMar>
              <w:top w:w="80" w:type="dxa"/>
              <w:start w:w="120" w:type="dxa"/>
              <w:bottom w:w="80" w:type="dxa"/>
              <w:end w:w="120" w:type="dxa"/>
            </w:tcMar>
            <w:vAlign w:val="top"/>
          </w:tcPr>
          <w:p>
            <w:pPr>
              <w:spacing w:after="0" w:line="276" w:lineRule="auto"/>
            </w:pPr>
            <w:r>
              <w:rPr>
                <w:sz w:val="18"/>
              </w:rPr>
              <w:t>topology=fan-out-network.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FANIN</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SPECIFIED NOT EXECUTED</w:t>
            </w:r>
          </w:p>
        </w:tc>
        <w:tc>
          <w:tcPr>
            <w:tcW w:type="dxa" w:w="4392"/>
            <w:tcMar>
              <w:top w:w="80" w:type="dxa"/>
              <w:start w:w="120" w:type="dxa"/>
              <w:bottom w:w="80" w:type="dxa"/>
              <w:end w:w="120" w:type="dxa"/>
            </w:tcMar>
            <w:vAlign w:val="top"/>
          </w:tcPr>
          <w:p>
            <w:pPr>
              <w:spacing w:after="0" w:line="276" w:lineRule="auto"/>
            </w:pPr>
            <w:r>
              <w:rPr>
                <w:sz w:val="18"/>
              </w:rPr>
              <w:t>topology=fan-in-network.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DIAMOND</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SPECIFIED NOT EXECUTED</w:t>
            </w:r>
          </w:p>
        </w:tc>
        <w:tc>
          <w:tcPr>
            <w:tcW w:type="dxa" w:w="4392"/>
            <w:tcMar>
              <w:top w:w="80" w:type="dxa"/>
              <w:start w:w="120" w:type="dxa"/>
              <w:bottom w:w="80" w:type="dxa"/>
              <w:end w:w="120" w:type="dxa"/>
            </w:tcMar>
            <w:vAlign w:val="top"/>
          </w:tcPr>
          <w:p>
            <w:pPr>
              <w:spacing w:after="0" w:line="276" w:lineRule="auto"/>
            </w:pPr>
            <w:r>
              <w:rPr>
                <w:sz w:val="18"/>
              </w:rPr>
              <w:t>topology=diamond-two-actual-paths.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CYCLE</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SPECIFIED NOT EXECUTED</w:t>
            </w:r>
          </w:p>
        </w:tc>
        <w:tc>
          <w:tcPr>
            <w:tcW w:type="dxa" w:w="4392"/>
            <w:tcMar>
              <w:top w:w="80" w:type="dxa"/>
              <w:start w:w="120" w:type="dxa"/>
              <w:bottom w:w="80" w:type="dxa"/>
              <w:end w:w="120" w:type="dxa"/>
            </w:tcMar>
            <w:vAlign w:val="top"/>
          </w:tcPr>
          <w:p>
            <w:pPr>
              <w:spacing w:after="0" w:line="276" w:lineRule="auto"/>
            </w:pPr>
            <w:r>
              <w:rPr>
                <w:sz w:val="18"/>
              </w:rPr>
              <w:t>topology=grounded-cycle.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NESTED</w:t>
            </w:r>
          </w:p>
        </w:tc>
        <w:tc>
          <w:tcPr>
            <w:tcW w:type="dxa" w:w="1296"/>
            <w:tcMar>
              <w:top w:w="80" w:type="dxa"/>
              <w:start w:w="120" w:type="dxa"/>
              <w:bottom w:w="80" w:type="dxa"/>
              <w:end w:w="120" w:type="dxa"/>
            </w:tcMar>
            <w:vAlign w:val="top"/>
          </w:tcPr>
          <w:p>
            <w:pPr>
              <w:spacing w:after="0" w:line="276" w:lineRule="auto"/>
            </w:pPr>
            <w:r>
              <w:rPr>
                <w:sz w:val="18"/>
              </w:rPr>
              <w:t>P-COMPOSE</w:t>
            </w:r>
          </w:p>
        </w:tc>
        <w:tc>
          <w:tcPr>
            <w:tcW w:type="dxa" w:w="1944"/>
            <w:tcMar>
              <w:top w:w="80" w:type="dxa"/>
              <w:start w:w="120" w:type="dxa"/>
              <w:bottom w:w="80" w:type="dxa"/>
              <w:end w:w="120" w:type="dxa"/>
            </w:tcMar>
            <w:vAlign w:val="top"/>
          </w:tcPr>
          <w:p>
            <w:pPr>
              <w:spacing w:after="0" w:line="276" w:lineRule="auto"/>
            </w:pPr>
            <w:r>
              <w:rPr>
                <w:sz w:val="18"/>
              </w:rPr>
              <w:t>SPECIFIED NOT EXECUTED</w:t>
            </w:r>
          </w:p>
        </w:tc>
        <w:tc>
          <w:tcPr>
            <w:tcW w:type="dxa" w:w="4392"/>
            <w:tcMar>
              <w:top w:w="80" w:type="dxa"/>
              <w:start w:w="120" w:type="dxa"/>
              <w:bottom w:w="80" w:type="dxa"/>
              <w:end w:w="120" w:type="dxa"/>
            </w:tcMar>
            <w:vAlign w:val="top"/>
          </w:tcPr>
          <w:p>
            <w:pPr>
              <w:spacing w:after="0" w:line="276" w:lineRule="auto"/>
            </w:pPr>
            <w:r>
              <w:rPr>
                <w:sz w:val="18"/>
              </w:rPr>
              <w:t>topology=nested-passage.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OBSERVATION</w:t>
            </w:r>
          </w:p>
        </w:tc>
        <w:tc>
          <w:tcPr>
            <w:tcW w:type="dxa" w:w="1296"/>
            <w:tcMar>
              <w:top w:w="80" w:type="dxa"/>
              <w:start w:w="120" w:type="dxa"/>
              <w:bottom w:w="80" w:type="dxa"/>
              <w:end w:w="120" w:type="dxa"/>
            </w:tcMar>
            <w:vAlign w:val="top"/>
          </w:tcPr>
          <w:p>
            <w:pPr>
              <w:spacing w:after="0" w:line="276" w:lineRule="auto"/>
            </w:pPr>
            <w:r>
              <w:rPr>
                <w:sz w:val="18"/>
              </w:rPr>
              <w:t>P-OBSERVE</w:t>
            </w:r>
          </w:p>
        </w:tc>
        <w:tc>
          <w:tcPr>
            <w:tcW w:type="dxa" w:w="1944"/>
            <w:tcMar>
              <w:top w:w="80" w:type="dxa"/>
              <w:start w:w="120" w:type="dxa"/>
              <w:bottom w:w="80" w:type="dxa"/>
              <w:end w:w="120" w:type="dxa"/>
            </w:tcMar>
            <w:vAlign w:val="top"/>
          </w:tcPr>
          <w:p>
            <w:pPr>
              <w:spacing w:after="0" w:line="276" w:lineRule="auto"/>
            </w:pPr>
            <w:r>
              <w:rPr>
                <w:sz w:val="18"/>
              </w:rPr>
              <w:t>E1 EXECUTED FINITE</w:t>
            </w:r>
          </w:p>
        </w:tc>
        <w:tc>
          <w:tcPr>
            <w:tcW w:type="dxa" w:w="4392"/>
            <w:tcMar>
              <w:top w:w="80" w:type="dxa"/>
              <w:start w:w="120" w:type="dxa"/>
              <w:bottom w:w="80" w:type="dxa"/>
              <w:end w:w="120" w:type="dxa"/>
            </w:tcMar>
            <w:vAlign w:val="top"/>
          </w:tcPr>
          <w:p>
            <w:pPr>
              <w:spacing w:after="0" w:line="276" w:lineRule="auto"/>
            </w:pPr>
            <w:r>
              <w:rPr>
                <w:sz w:val="18"/>
              </w:rPr>
              <w:t>world=stage-separation-trace; actuality=not-claimed. Evidence: V-006-EFFECT.</w:t>
            </w:r>
          </w:p>
        </w:tc>
      </w:tr>
      <w:tr>
        <w:trPr>
          <w:cantSplit/>
        </w:trPr>
        <w:tc>
          <w:tcPr>
            <w:tcW w:type="dxa" w:w="1728"/>
            <w:tcMar>
              <w:top w:w="80" w:type="dxa"/>
              <w:start w:w="120" w:type="dxa"/>
              <w:bottom w:w="80" w:type="dxa"/>
              <w:end w:w="120" w:type="dxa"/>
            </w:tcMar>
            <w:vAlign w:val="top"/>
          </w:tcPr>
          <w:p>
            <w:pPr>
              <w:spacing w:after="0" w:line="276" w:lineRule="auto"/>
            </w:pPr>
            <w:r>
              <w:rPr>
                <w:sz w:val="18"/>
              </w:rPr>
              <w:t>TRANSACTION</w:t>
            </w:r>
          </w:p>
        </w:tc>
        <w:tc>
          <w:tcPr>
            <w:tcW w:type="dxa" w:w="1296"/>
            <w:tcMar>
              <w:top w:w="80" w:type="dxa"/>
              <w:start w:w="120" w:type="dxa"/>
              <w:bottom w:w="80" w:type="dxa"/>
              <w:end w:w="120" w:type="dxa"/>
            </w:tcMar>
            <w:vAlign w:val="top"/>
          </w:tcPr>
          <w:p>
            <w:pPr>
              <w:spacing w:after="0" w:line="276" w:lineRule="auto"/>
            </w:pPr>
            <w:r>
              <w:rPr>
                <w:sz w:val="18"/>
              </w:rPr>
              <w:t>P-TRANSACTION</w:t>
            </w:r>
          </w:p>
        </w:tc>
        <w:tc>
          <w:tcPr>
            <w:tcW w:type="dxa" w:w="1944"/>
            <w:tcMar>
              <w:top w:w="80" w:type="dxa"/>
              <w:start w:w="120" w:type="dxa"/>
              <w:bottom w:w="80" w:type="dxa"/>
              <w:end w:w="120" w:type="dxa"/>
            </w:tcMar>
            <w:vAlign w:val="top"/>
          </w:tcPr>
          <w:p>
            <w:pPr>
              <w:spacing w:after="0" w:line="276" w:lineRule="auto"/>
            </w:pPr>
            <w:r>
              <w:rPr>
                <w:sz w:val="18"/>
              </w:rPr>
              <w:t>EXTERNAL PROFILE REQUIRED</w:t>
            </w:r>
          </w:p>
        </w:tc>
        <w:tc>
          <w:tcPr>
            <w:tcW w:type="dxa" w:w="4392"/>
            <w:tcMar>
              <w:top w:w="80" w:type="dxa"/>
              <w:start w:w="120" w:type="dxa"/>
              <w:bottom w:w="80" w:type="dxa"/>
              <w:end w:w="120" w:type="dxa"/>
            </w:tcMar>
            <w:vAlign w:val="top"/>
          </w:tcPr>
          <w:p>
            <w:pPr>
              <w:spacing w:after="0" w:line="276" w:lineRule="auto"/>
            </w:pPr>
            <w:r>
              <w:rPr>
                <w:sz w:val="18"/>
              </w:rPr>
              <w:t>world=persistent-transaction. Evidence: none.</w:t>
            </w:r>
          </w:p>
        </w:tc>
      </w:tr>
      <w:tr>
        <w:trPr>
          <w:cantSplit/>
        </w:trPr>
        <w:tc>
          <w:tcPr>
            <w:tcW w:type="dxa" w:w="1728"/>
            <w:tcMar>
              <w:top w:w="80" w:type="dxa"/>
              <w:start w:w="120" w:type="dxa"/>
              <w:bottom w:w="80" w:type="dxa"/>
              <w:end w:w="120" w:type="dxa"/>
            </w:tcMar>
            <w:vAlign w:val="top"/>
          </w:tcPr>
          <w:p>
            <w:pPr>
              <w:spacing w:after="0" w:line="276" w:lineRule="auto"/>
            </w:pPr>
            <w:r>
              <w:rPr>
                <w:sz w:val="18"/>
              </w:rPr>
              <w:t>ACTION</w:t>
            </w:r>
          </w:p>
        </w:tc>
        <w:tc>
          <w:tcPr>
            <w:tcW w:type="dxa" w:w="1296"/>
            <w:tcMar>
              <w:top w:w="80" w:type="dxa"/>
              <w:start w:w="120" w:type="dxa"/>
              <w:bottom w:w="80" w:type="dxa"/>
              <w:end w:w="120" w:type="dxa"/>
            </w:tcMar>
            <w:vAlign w:val="top"/>
          </w:tcPr>
          <w:p>
            <w:pPr>
              <w:spacing w:after="0" w:line="276" w:lineRule="auto"/>
            </w:pPr>
            <w:r>
              <w:rPr>
                <w:sz w:val="18"/>
              </w:rPr>
              <w:t>P-ACTION</w:t>
            </w:r>
          </w:p>
        </w:tc>
        <w:tc>
          <w:tcPr>
            <w:tcW w:type="dxa" w:w="1944"/>
            <w:tcMar>
              <w:top w:w="80" w:type="dxa"/>
              <w:start w:w="120" w:type="dxa"/>
              <w:bottom w:w="80" w:type="dxa"/>
              <w:end w:w="120" w:type="dxa"/>
            </w:tcMar>
            <w:vAlign w:val="top"/>
          </w:tcPr>
          <w:p>
            <w:pPr>
              <w:spacing w:after="0" w:line="276" w:lineRule="auto"/>
            </w:pPr>
            <w:r>
              <w:rPr>
                <w:sz w:val="18"/>
              </w:rPr>
              <w:t>EXTERNAL PROFILE REQUIRED</w:t>
            </w:r>
          </w:p>
        </w:tc>
        <w:tc>
          <w:tcPr>
            <w:tcW w:type="dxa" w:w="4392"/>
            <w:tcMar>
              <w:top w:w="80" w:type="dxa"/>
              <w:start w:w="120" w:type="dxa"/>
              <w:bottom w:w="80" w:type="dxa"/>
              <w:end w:w="120" w:type="dxa"/>
            </w:tcMar>
            <w:vAlign w:val="top"/>
          </w:tcPr>
          <w:p>
            <w:pPr>
              <w:spacing w:after="0" w:line="276" w:lineRule="auto"/>
            </w:pPr>
            <w:r>
              <w:rPr>
                <w:sz w:val="18"/>
              </w:rPr>
              <w:t>world=external-action. Evidence: none.</w:t>
            </w:r>
          </w:p>
        </w:tc>
      </w:tr>
    </w:tbl>
    <w:p>
      <w:pPr>
        <w:spacing w:after="0" w:line="168" w:lineRule="auto"/>
      </w:pPr>
    </w:p>
    <w:p>
      <w:pPr>
        <w:pStyle w:val="Heading1"/>
      </w:pPr>
      <w:r>
        <w:t>Qualification</w:t>
      </w:r>
    </w:p>
    <w:p>
      <w:pPr>
        <w:keepNext/>
      </w:pPr>
      <w:r>
        <w:t>190/190 shipped vectors passed. Positive/refusal behavior coverage: 19/19 / 19/19. Failure reach: 20/20; law countermodels: 6/6; root ablations: 7/7; clause mutations: 159/159; entry contracts: 6/6; operator values: 6/6; operator OPEN certificates: 6/6; succession mutations: 5/5; OPEN mutations: 4/4; readable ledger: 19/19 (50/50 source statements). The optional Structural Lexicon binds 268 terms across 10 categories without normative authority.</w:t>
      </w:r>
    </w:p>
    <w:p>
      <w:r>
        <w:t>100% means every declared v1.1 finite-reference clause, failure class, law countermodel, root ablation, operator value, operator OPEN certificate, readable source mapping, mutation target, succession conservation probe, and executed profile cell is exercised with exact attribution. It does not mean objective truth, open-world completeness, independent reconstruction, input authenticity, legitimacy, causation, external durability, security, comparative value, scale, or universal interoperability.</w:t>
      </w:r>
    </w:p>
    <w:p>
      <w:pPr>
        <w:pStyle w:val="Heading1"/>
      </w:pPr>
      <w:r>
        <w:t>Hard boundary</w:t>
      </w:r>
    </w:p>
    <w:tbl>
      <w:tblPr>
        <w:tblStyle w:val="TableGrid"/>
        <w:tblW w:type="dxa" w:w="9360"/>
        <w:tblLayout w:type="fixed"/>
        <w:tblLook w:firstColumn="1" w:firstRow="1" w:lastColumn="0" w:lastRow="0" w:noHBand="0" w:noVBand="1" w:val="04A0"/>
        <w:jc w:val="center"/>
        <w:tblInd w:w="120" w:type="dxa"/>
      </w:tblPr>
      <w:tblGrid>
        <w:gridCol w:w="2088"/>
        <w:gridCol w:w="7272"/>
      </w:tblGrid>
      <w:tr>
        <w:trPr>
          <w:tblHeader/>
          <w:cantSplit/>
        </w:trPr>
        <w:tc>
          <w:tcPr>
            <w:tcW w:type="dxa" w:w="2088"/>
            <w:shd w:fill="DCE9F3"/>
            <w:tcMar>
              <w:top w:w="80" w:type="dxa"/>
              <w:start w:w="120" w:type="dxa"/>
              <w:bottom w:w="80" w:type="dxa"/>
              <w:end w:w="120" w:type="dxa"/>
            </w:tcMar>
            <w:vAlign w:val="center"/>
          </w:tcPr>
          <w:p>
            <w:pPr>
              <w:spacing w:after="0"/>
            </w:pPr>
            <w:r>
              <w:rPr>
                <w:b/>
                <w:color w:val="17324D"/>
                <w:sz w:val="18"/>
              </w:rPr>
              <w:t>Not internally earned</w:t>
            </w:r>
          </w:p>
        </w:tc>
        <w:tc>
          <w:tcPr>
            <w:tcW w:type="dxa" w:w="7272"/>
            <w:shd w:fill="DCE9F3"/>
            <w:tcMar>
              <w:top w:w="80" w:type="dxa"/>
              <w:start w:w="120" w:type="dxa"/>
              <w:bottom w:w="80" w:type="dxa"/>
              <w:end w:w="120" w:type="dxa"/>
            </w:tcMar>
            <w:vAlign w:val="center"/>
          </w:tcPr>
          <w:p>
            <w:pPr>
              <w:spacing w:after="0"/>
            </w:pPr>
            <w:r>
              <w:rPr>
                <w:b/>
                <w:color w:val="17324D"/>
                <w:sz w:val="18"/>
              </w:rPr>
              <w:t>Boundary</w:t>
            </w:r>
          </w:p>
        </w:tc>
      </w:tr>
      <w:tr>
        <w:trPr>
          <w:cantSplit/>
        </w:trPr>
        <w:tc>
          <w:tcPr>
            <w:tcW w:type="dxa" w:w="2088"/>
            <w:tcMar>
              <w:top w:w="80" w:type="dxa"/>
              <w:start w:w="120" w:type="dxa"/>
              <w:bottom w:w="80" w:type="dxa"/>
              <w:end w:w="120" w:type="dxa"/>
            </w:tcMar>
            <w:vAlign w:val="top"/>
          </w:tcPr>
          <w:p>
            <w:pPr>
              <w:spacing w:after="0" w:line="276" w:lineRule="auto"/>
            </w:pPr>
            <w:r>
              <w:rPr>
                <w:sz w:val="18"/>
              </w:rPr>
              <w:t>Truth</w:t>
            </w:r>
          </w:p>
        </w:tc>
        <w:tc>
          <w:tcPr>
            <w:tcW w:type="dxa" w:w="7272"/>
            <w:tcMar>
              <w:top w:w="80" w:type="dxa"/>
              <w:start w:w="120" w:type="dxa"/>
              <w:bottom w:w="80" w:type="dxa"/>
              <w:end w:w="120" w:type="dxa"/>
            </w:tcMar>
            <w:vAlign w:val="top"/>
          </w:tcPr>
          <w:p>
            <w:pPr>
              <w:spacing w:after="0" w:line="276" w:lineRule="auto"/>
            </w:pPr>
            <w:r>
              <w:rPr>
                <w:sz w:val="18"/>
              </w:rPr>
              <w:t>CRA does not prove that a local Regime is objectively true; it records which Regime and verifier earned a bounded result.</w:t>
            </w:r>
          </w:p>
        </w:tc>
      </w:tr>
      <w:tr>
        <w:trPr>
          <w:cantSplit/>
        </w:trPr>
        <w:tc>
          <w:tcPr>
            <w:tcW w:type="dxa" w:w="2088"/>
            <w:tcMar>
              <w:top w:w="80" w:type="dxa"/>
              <w:start w:w="120" w:type="dxa"/>
              <w:bottom w:w="80" w:type="dxa"/>
              <w:end w:w="120" w:type="dxa"/>
            </w:tcMar>
            <w:vAlign w:val="top"/>
          </w:tcPr>
          <w:p>
            <w:pPr>
              <w:spacing w:after="0" w:line="276" w:lineRule="auto"/>
            </w:pPr>
            <w:r>
              <w:rPr>
                <w:sz w:val="18"/>
              </w:rPr>
              <w:t>Completeness</w:t>
            </w:r>
          </w:p>
        </w:tc>
        <w:tc>
          <w:tcPr>
            <w:tcW w:type="dxa" w:w="7272"/>
            <w:tcMar>
              <w:top w:w="80" w:type="dxa"/>
              <w:start w:w="120" w:type="dxa"/>
              <w:bottom w:w="80" w:type="dxa"/>
              <w:end w:w="120" w:type="dxa"/>
            </w:tcMar>
            <w:vAlign w:val="top"/>
          </w:tcPr>
          <w:p>
            <w:pPr>
              <w:spacing w:after="0" w:line="276" w:lineRule="auto"/>
            </w:pPr>
            <w:r>
              <w:rPr>
                <w:sz w:val="18"/>
              </w:rPr>
              <w:t>CRA proves completeness only relative to a named Demand, operator, declared dependency interface, assumption boundary, and checker. An OpenCertificate is fail-fast and does not claim discovery of every independent or open-world blocker.</w:t>
            </w:r>
          </w:p>
        </w:tc>
      </w:tr>
      <w:tr>
        <w:trPr>
          <w:cantSplit/>
        </w:trPr>
        <w:tc>
          <w:tcPr>
            <w:tcW w:type="dxa" w:w="2088"/>
            <w:tcMar>
              <w:top w:w="80" w:type="dxa"/>
              <w:start w:w="120" w:type="dxa"/>
              <w:bottom w:w="80" w:type="dxa"/>
              <w:end w:w="120" w:type="dxa"/>
            </w:tcMar>
            <w:vAlign w:val="top"/>
          </w:tcPr>
          <w:p>
            <w:pPr>
              <w:spacing w:after="0" w:line="276" w:lineRule="auto"/>
            </w:pPr>
            <w:r>
              <w:rPr>
                <w:sz w:val="18"/>
              </w:rPr>
              <w:t>Authenticity</w:t>
            </w:r>
          </w:p>
        </w:tc>
        <w:tc>
          <w:tcPr>
            <w:tcW w:type="dxa" w:w="7272"/>
            <w:tcMar>
              <w:top w:w="80" w:type="dxa"/>
              <w:start w:w="120" w:type="dxa"/>
              <w:bottom w:w="80" w:type="dxa"/>
              <w:end w:w="120" w:type="dxa"/>
            </w:tcMar>
            <w:vAlign w:val="top"/>
          </w:tcPr>
          <w:p>
            <w:pPr>
              <w:spacing w:after="0" w:line="276" w:lineRule="auto"/>
            </w:pPr>
            <w:r>
              <w:rPr>
                <w:sz w:val="18"/>
              </w:rPr>
              <w:t>Fingerprints detect drift; they do not prove authorship, identity, trusted time, credential custody, or adversarial authenticity.</w:t>
            </w:r>
          </w:p>
        </w:tc>
      </w:tr>
      <w:tr>
        <w:trPr>
          <w:cantSplit/>
        </w:trPr>
        <w:tc>
          <w:tcPr>
            <w:tcW w:type="dxa" w:w="2088"/>
            <w:tcMar>
              <w:top w:w="80" w:type="dxa"/>
              <w:start w:w="120" w:type="dxa"/>
              <w:bottom w:w="80" w:type="dxa"/>
              <w:end w:w="120" w:type="dxa"/>
            </w:tcMar>
            <w:vAlign w:val="top"/>
          </w:tcPr>
          <w:p>
            <w:pPr>
              <w:spacing w:after="0" w:line="276" w:lineRule="auto"/>
            </w:pPr>
            <w:r>
              <w:rPr>
                <w:sz w:val="18"/>
              </w:rPr>
              <w:t>Legitimacy</w:t>
            </w:r>
          </w:p>
        </w:tc>
        <w:tc>
          <w:tcPr>
            <w:tcW w:type="dxa" w:w="7272"/>
            <w:tcMar>
              <w:top w:w="80" w:type="dxa"/>
              <w:start w:w="120" w:type="dxa"/>
              <w:bottom w:w="80" w:type="dxa"/>
              <w:end w:w="120" w:type="dxa"/>
            </w:tcMar>
            <w:vAlign w:val="top"/>
          </w:tcPr>
          <w:p>
            <w:pPr>
              <w:spacing w:after="0" w:line="276" w:lineRule="auto"/>
            </w:pPr>
            <w:r>
              <w:rPr>
                <w:sz w:val="18"/>
              </w:rPr>
              <w:t>Configured authority can be checked for scope and chain integrity; CRA does not make an institution socially or legally legitimate.</w:t>
            </w:r>
          </w:p>
        </w:tc>
      </w:tr>
      <w:tr>
        <w:trPr>
          <w:cantSplit/>
        </w:trPr>
        <w:tc>
          <w:tcPr>
            <w:tcW w:type="dxa" w:w="2088"/>
            <w:tcMar>
              <w:top w:w="80" w:type="dxa"/>
              <w:start w:w="120" w:type="dxa"/>
              <w:bottom w:w="80" w:type="dxa"/>
              <w:end w:w="120" w:type="dxa"/>
            </w:tcMar>
            <w:vAlign w:val="top"/>
          </w:tcPr>
          <w:p>
            <w:pPr>
              <w:spacing w:after="0" w:line="276" w:lineRule="auto"/>
            </w:pPr>
            <w:r>
              <w:rPr>
                <w:sz w:val="18"/>
              </w:rPr>
              <w:t>Causation</w:t>
            </w:r>
          </w:p>
        </w:tc>
        <w:tc>
          <w:tcPr>
            <w:tcW w:type="dxa" w:w="7272"/>
            <w:tcMar>
              <w:top w:w="80" w:type="dxa"/>
              <w:start w:w="120" w:type="dxa"/>
              <w:bottom w:w="80" w:type="dxa"/>
              <w:end w:w="120" w:type="dxa"/>
            </w:tcMar>
            <w:vAlign w:val="top"/>
          </w:tcPr>
          <w:p>
            <w:pPr>
              <w:spacing w:after="0" w:line="276" w:lineRule="auto"/>
            </w:pPr>
            <w:r>
              <w:rPr>
                <w:sz w:val="18"/>
              </w:rPr>
              <w:t>Observation does not establish causation without an admitted causal model and attribution witness.</w:t>
            </w:r>
          </w:p>
        </w:tc>
      </w:tr>
      <w:tr>
        <w:trPr>
          <w:cantSplit/>
        </w:trPr>
        <w:tc>
          <w:tcPr>
            <w:tcW w:type="dxa" w:w="2088"/>
            <w:tcMar>
              <w:top w:w="80" w:type="dxa"/>
              <w:start w:w="120" w:type="dxa"/>
              <w:bottom w:w="80" w:type="dxa"/>
              <w:end w:w="120" w:type="dxa"/>
            </w:tcMar>
            <w:vAlign w:val="top"/>
          </w:tcPr>
          <w:p>
            <w:pPr>
              <w:spacing w:after="0" w:line="276" w:lineRule="auto"/>
            </w:pPr>
            <w:r>
              <w:rPr>
                <w:sz w:val="18"/>
              </w:rPr>
              <w:t>Effects</w:t>
            </w:r>
          </w:p>
        </w:tc>
        <w:tc>
          <w:tcPr>
            <w:tcW w:type="dxa" w:w="7272"/>
            <w:tcMar>
              <w:top w:w="80" w:type="dxa"/>
              <w:start w:w="120" w:type="dxa"/>
              <w:bottom w:w="80" w:type="dxa"/>
              <w:end w:w="120" w:type="dxa"/>
            </w:tcMar>
            <w:vAlign w:val="top"/>
          </w:tcPr>
          <w:p>
            <w:pPr>
              <w:spacing w:after="0" w:line="276" w:lineRule="auto"/>
            </w:pPr>
            <w:r>
              <w:rPr>
                <w:sz w:val="18"/>
              </w:rPr>
              <w:t>CRA supplies no universal exactly-once effect, distributed atomicity, rollback, durability, or compensation guarantee; named profiles must earn them.</w:t>
            </w:r>
          </w:p>
        </w:tc>
      </w:tr>
      <w:tr>
        <w:trPr>
          <w:cantSplit/>
        </w:trPr>
        <w:tc>
          <w:tcPr>
            <w:tcW w:type="dxa" w:w="2088"/>
            <w:tcMar>
              <w:top w:w="80" w:type="dxa"/>
              <w:start w:w="120" w:type="dxa"/>
              <w:bottom w:w="80" w:type="dxa"/>
              <w:end w:w="120" w:type="dxa"/>
            </w:tcMar>
            <w:vAlign w:val="top"/>
          </w:tcPr>
          <w:p>
            <w:pPr>
              <w:spacing w:after="0" w:line="276" w:lineRule="auto"/>
            </w:pPr>
            <w:r>
              <w:rPr>
                <w:sz w:val="18"/>
              </w:rPr>
              <w:t>Value</w:t>
            </w:r>
          </w:p>
        </w:tc>
        <w:tc>
          <w:tcPr>
            <w:tcW w:type="dxa" w:w="7272"/>
            <w:tcMar>
              <w:top w:w="80" w:type="dxa"/>
              <w:start w:w="120" w:type="dxa"/>
              <w:bottom w:w="80" w:type="dxa"/>
              <w:end w:w="120" w:type="dxa"/>
            </w:tcMar>
            <w:vAlign w:val="top"/>
          </w:tcPr>
          <w:p>
            <w:pPr>
              <w:spacing w:after="0" w:line="276" w:lineRule="auto"/>
            </w:pPr>
            <w:r>
              <w:rPr>
                <w:sz w:val="18"/>
              </w:rPr>
              <w:t>Internal finite conformance, including the v0.2→v1.1 succession account, does not establish independent reconstruction, security, usability, scale, broad interoperability, or comparative external value.</w:t>
            </w:r>
          </w:p>
        </w:tc>
      </w:tr>
    </w:tbl>
    <w:p>
      <w:pPr>
        <w:spacing w:after="0" w:line="168" w:lineRule="auto"/>
      </w:pPr>
    </w:p>
    <w:p>
      <w:pPr>
        <w:pStyle w:val="Heading1"/>
      </w:pPr>
      <w:r>
        <w:t>Succession and open frontiers</w:t>
      </w:r>
    </w:p>
    <w:p>
      <w:r>
        <w:t>The executable v0.2→v1.1 succession account dispositions every predecessor root, law, profile, evidence class, carrier class, and all six inherited open frontiers. Status and qualification are not inherited; every frontier remains OPEN with its original closure predicate and an explicit reentry.</w:t>
      </w:r>
    </w:p>
    <w:tbl>
      <w:tblPr>
        <w:tblStyle w:val="TableGrid"/>
        <w:tblW w:type="dxa" w:w="9360"/>
        <w:tblLayout w:type="fixed"/>
        <w:tblLook w:firstColumn="1" w:firstRow="1" w:lastColumn="0" w:lastRow="0" w:noHBand="0" w:noVBand="1" w:val="04A0"/>
        <w:jc w:val="center"/>
        <w:tblInd w:w="120" w:type="dxa"/>
      </w:tblPr>
      <w:tblGrid>
        <w:gridCol w:w="893"/>
        <w:gridCol w:w="1613"/>
        <w:gridCol w:w="936"/>
        <w:gridCol w:w="3672"/>
        <w:gridCol w:w="2246"/>
      </w:tblGrid>
      <w:tr>
        <w:trPr>
          <w:tblHeader/>
          <w:cantSplit/>
        </w:trPr>
        <w:tc>
          <w:tcPr>
            <w:tcW w:type="dxa" w:w="893"/>
            <w:shd w:fill="DCE9F3"/>
            <w:tcMar>
              <w:top w:w="80" w:type="dxa"/>
              <w:start w:w="120" w:type="dxa"/>
              <w:bottom w:w="80" w:type="dxa"/>
              <w:end w:w="120" w:type="dxa"/>
            </w:tcMar>
            <w:vAlign w:val="center"/>
          </w:tcPr>
          <w:p>
            <w:pPr>
              <w:spacing w:after="0"/>
            </w:pPr>
            <w:r>
              <w:rPr>
                <w:b/>
                <w:color w:val="17324D"/>
                <w:sz w:val="18"/>
              </w:rPr>
              <w:t>ID</w:t>
            </w:r>
          </w:p>
        </w:tc>
        <w:tc>
          <w:tcPr>
            <w:tcW w:type="dxa" w:w="1613"/>
            <w:shd w:fill="DCE9F3"/>
            <w:tcMar>
              <w:top w:w="80" w:type="dxa"/>
              <w:start w:w="120" w:type="dxa"/>
              <w:bottom w:w="80" w:type="dxa"/>
              <w:end w:w="120" w:type="dxa"/>
            </w:tcMar>
            <w:vAlign w:val="center"/>
          </w:tcPr>
          <w:p>
            <w:pPr>
              <w:spacing w:after="0"/>
            </w:pPr>
            <w:r>
              <w:rPr>
                <w:b/>
                <w:color w:val="17324D"/>
                <w:sz w:val="18"/>
              </w:rPr>
              <w:t>Frontier</w:t>
            </w:r>
          </w:p>
        </w:tc>
        <w:tc>
          <w:tcPr>
            <w:tcW w:type="dxa" w:w="936"/>
            <w:shd w:fill="DCE9F3"/>
            <w:tcMar>
              <w:top w:w="80" w:type="dxa"/>
              <w:start w:w="120" w:type="dxa"/>
              <w:bottom w:w="80" w:type="dxa"/>
              <w:end w:w="120" w:type="dxa"/>
            </w:tcMar>
            <w:vAlign w:val="center"/>
          </w:tcPr>
          <w:p>
            <w:pPr>
              <w:spacing w:after="0"/>
            </w:pPr>
            <w:r>
              <w:rPr>
                <w:b/>
                <w:color w:val="17324D"/>
                <w:sz w:val="18"/>
              </w:rPr>
              <w:t>Status</w:t>
            </w:r>
          </w:p>
        </w:tc>
        <w:tc>
          <w:tcPr>
            <w:tcW w:type="dxa" w:w="3672"/>
            <w:shd w:fill="DCE9F3"/>
            <w:tcMar>
              <w:top w:w="80" w:type="dxa"/>
              <w:start w:w="120" w:type="dxa"/>
              <w:bottom w:w="80" w:type="dxa"/>
              <w:end w:w="120" w:type="dxa"/>
            </w:tcMar>
            <w:vAlign w:val="center"/>
          </w:tcPr>
          <w:p>
            <w:pPr>
              <w:spacing w:after="0"/>
            </w:pPr>
            <w:r>
              <w:rPr>
                <w:b/>
                <w:color w:val="17324D"/>
                <w:sz w:val="18"/>
              </w:rPr>
              <w:t>Closure predicate</w:t>
            </w:r>
          </w:p>
        </w:tc>
        <w:tc>
          <w:tcPr>
            <w:tcW w:type="dxa" w:w="2246"/>
            <w:shd w:fill="DCE9F3"/>
            <w:tcMar>
              <w:top w:w="80" w:type="dxa"/>
              <w:start w:w="120" w:type="dxa"/>
              <w:bottom w:w="80" w:type="dxa"/>
              <w:end w:w="120" w:type="dxa"/>
            </w:tcMar>
            <w:vAlign w:val="center"/>
          </w:tcPr>
          <w:p>
            <w:pPr>
              <w:spacing w:after="0"/>
            </w:pPr>
            <w:r>
              <w:rPr>
                <w:b/>
                <w:color w:val="17324D"/>
                <w:sz w:val="18"/>
              </w:rPr>
              <w:t>Reentry</w:t>
            </w:r>
          </w:p>
        </w:tc>
      </w:tr>
      <w:tr>
        <w:trPr>
          <w:cantSplit/>
        </w:trPr>
        <w:tc>
          <w:tcPr>
            <w:tcW w:type="dxa" w:w="893"/>
            <w:tcMar>
              <w:top w:w="80" w:type="dxa"/>
              <w:start w:w="120" w:type="dxa"/>
              <w:bottom w:w="80" w:type="dxa"/>
              <w:end w:w="120" w:type="dxa"/>
            </w:tcMar>
            <w:vAlign w:val="top"/>
          </w:tcPr>
          <w:p>
            <w:pPr>
              <w:spacing w:after="0" w:line="276" w:lineRule="auto"/>
            </w:pPr>
            <w:r>
              <w:rPr>
                <w:sz w:val="18"/>
              </w:rPr>
              <w:t>CRA-F01</w:t>
            </w:r>
          </w:p>
        </w:tc>
        <w:tc>
          <w:tcPr>
            <w:tcW w:type="dxa" w:w="1613"/>
            <w:tcMar>
              <w:top w:w="80" w:type="dxa"/>
              <w:start w:w="120" w:type="dxa"/>
              <w:bottom w:w="80" w:type="dxa"/>
              <w:end w:w="120" w:type="dxa"/>
            </w:tcMar>
            <w:vAlign w:val="top"/>
          </w:tcPr>
          <w:p>
            <w:pPr>
              <w:spacing w:after="0" w:line="276" w:lineRule="auto"/>
            </w:pPr>
            <w:r>
              <w:rPr>
                <w:sz w:val="18"/>
              </w:rPr>
              <w:t>Independent reconstruction</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A separate operator or implementation reconstructs the schema, canonicalization, transition rules, and hostile cases without thread history.</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CRA-F01; then Reassess the release claim.</w:t>
            </w:r>
          </w:p>
        </w:tc>
      </w:tr>
      <w:tr>
        <w:trPr>
          <w:cantSplit/>
        </w:trPr>
        <w:tc>
          <w:tcPr>
            <w:tcW w:type="dxa" w:w="893"/>
            <w:tcMar>
              <w:top w:w="80" w:type="dxa"/>
              <w:start w:w="120" w:type="dxa"/>
              <w:bottom w:w="80" w:type="dxa"/>
              <w:end w:w="120" w:type="dxa"/>
            </w:tcMar>
            <w:vAlign w:val="top"/>
          </w:tcPr>
          <w:p>
            <w:pPr>
              <w:spacing w:after="0" w:line="276" w:lineRule="auto"/>
            </w:pPr>
            <w:r>
              <w:rPr>
                <w:sz w:val="18"/>
              </w:rPr>
              <w:t>CRA-F02</w:t>
            </w:r>
          </w:p>
        </w:tc>
        <w:tc>
          <w:tcPr>
            <w:tcW w:type="dxa" w:w="1613"/>
            <w:tcMar>
              <w:top w:w="80" w:type="dxa"/>
              <w:start w:w="120" w:type="dxa"/>
              <w:bottom w:w="80" w:type="dxa"/>
              <w:end w:w="120" w:type="dxa"/>
            </w:tcMar>
            <w:vAlign w:val="top"/>
          </w:tcPr>
          <w:p>
            <w:pPr>
              <w:spacing w:after="0" w:line="276" w:lineRule="auto"/>
            </w:pPr>
            <w:r>
              <w:rPr>
                <w:sz w:val="18"/>
              </w:rPr>
              <w:t>External comparative value</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Sealed real tasks show lower error or rebuild cost than simpler baselines.</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CRA-F02; then Reassess the release claim.</w:t>
            </w:r>
          </w:p>
        </w:tc>
      </w:tr>
      <w:tr>
        <w:trPr>
          <w:cantSplit/>
        </w:trPr>
        <w:tc>
          <w:tcPr>
            <w:tcW w:type="dxa" w:w="893"/>
            <w:tcMar>
              <w:top w:w="80" w:type="dxa"/>
              <w:start w:w="120" w:type="dxa"/>
              <w:bottom w:w="80" w:type="dxa"/>
              <w:end w:w="120" w:type="dxa"/>
            </w:tcMar>
            <w:vAlign w:val="top"/>
          </w:tcPr>
          <w:p>
            <w:pPr>
              <w:spacing w:after="0" w:line="276" w:lineRule="auto"/>
            </w:pPr>
            <w:r>
              <w:rPr>
                <w:sz w:val="18"/>
              </w:rPr>
              <w:t>CRA-F03</w:t>
            </w:r>
          </w:p>
        </w:tc>
        <w:tc>
          <w:tcPr>
            <w:tcW w:type="dxa" w:w="1613"/>
            <w:tcMar>
              <w:top w:w="80" w:type="dxa"/>
              <w:start w:w="120" w:type="dxa"/>
              <w:bottom w:w="80" w:type="dxa"/>
              <w:end w:w="120" w:type="dxa"/>
            </w:tcMar>
            <w:vAlign w:val="top"/>
          </w:tcPr>
          <w:p>
            <w:pPr>
              <w:spacing w:after="0" w:line="276" w:lineRule="auto"/>
            </w:pPr>
            <w:r>
              <w:rPr>
                <w:sz w:val="18"/>
              </w:rPr>
              <w:t>Durable recovery</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A real persistent substrate survives crash cut points, retries, partial writes, compensation, and recovery.</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CRA-F03; then Reassess the release claim.</w:t>
            </w:r>
          </w:p>
        </w:tc>
      </w:tr>
      <w:tr>
        <w:trPr>
          <w:cantSplit/>
        </w:trPr>
        <w:tc>
          <w:tcPr>
            <w:tcW w:type="dxa" w:w="893"/>
            <w:tcMar>
              <w:top w:w="80" w:type="dxa"/>
              <w:start w:w="120" w:type="dxa"/>
              <w:bottom w:w="80" w:type="dxa"/>
              <w:end w:w="120" w:type="dxa"/>
            </w:tcMar>
            <w:vAlign w:val="top"/>
          </w:tcPr>
          <w:p>
            <w:pPr>
              <w:spacing w:after="0" w:line="276" w:lineRule="auto"/>
            </w:pPr>
            <w:r>
              <w:rPr>
                <w:sz w:val="18"/>
              </w:rPr>
              <w:t>CRA-F04</w:t>
            </w:r>
          </w:p>
        </w:tc>
        <w:tc>
          <w:tcPr>
            <w:tcW w:type="dxa" w:w="1613"/>
            <w:tcMar>
              <w:top w:w="80" w:type="dxa"/>
              <w:start w:w="120" w:type="dxa"/>
              <w:bottom w:w="80" w:type="dxa"/>
              <w:end w:w="120" w:type="dxa"/>
            </w:tcMar>
            <w:vAlign w:val="top"/>
          </w:tcPr>
          <w:p>
            <w:pPr>
              <w:spacing w:after="0" w:line="276" w:lineRule="auto"/>
            </w:pPr>
            <w:r>
              <w:rPr>
                <w:sz w:val="18"/>
              </w:rPr>
              <w:t>Adversarial authenticity</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Signatures, key management, forged manifests, replay, denial of service, and authority laundering are independently attacked.</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CRA-F04; then Reassess the release claim.</w:t>
            </w:r>
          </w:p>
        </w:tc>
      </w:tr>
      <w:tr>
        <w:trPr>
          <w:cantSplit/>
        </w:trPr>
        <w:tc>
          <w:tcPr>
            <w:tcW w:type="dxa" w:w="893"/>
            <w:tcMar>
              <w:top w:w="80" w:type="dxa"/>
              <w:start w:w="120" w:type="dxa"/>
              <w:bottom w:w="80" w:type="dxa"/>
              <w:end w:w="120" w:type="dxa"/>
            </w:tcMar>
            <w:vAlign w:val="top"/>
          </w:tcPr>
          <w:p>
            <w:pPr>
              <w:spacing w:after="0" w:line="276" w:lineRule="auto"/>
            </w:pPr>
            <w:r>
              <w:rPr>
                <w:sz w:val="18"/>
              </w:rPr>
              <w:t>CRA-F05</w:t>
            </w:r>
          </w:p>
        </w:tc>
        <w:tc>
          <w:tcPr>
            <w:tcW w:type="dxa" w:w="1613"/>
            <w:tcMar>
              <w:top w:w="80" w:type="dxa"/>
              <w:start w:w="120" w:type="dxa"/>
              <w:bottom w:w="80" w:type="dxa"/>
              <w:end w:w="120" w:type="dxa"/>
            </w:tcMar>
            <w:vAlign w:val="top"/>
          </w:tcPr>
          <w:p>
            <w:pPr>
              <w:spacing w:after="0" w:line="276" w:lineRule="auto"/>
            </w:pPr>
            <w:r>
              <w:rPr>
                <w:sz w:val="18"/>
              </w:rPr>
              <w:t>Demand and dependency analysis</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A domain analyzer identifies exactly which coordinates and dependency cones can change a requested Return.</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CRA-F05; then Reassess the release claim.</w:t>
            </w:r>
          </w:p>
        </w:tc>
      </w:tr>
      <w:tr>
        <w:trPr>
          <w:cantSplit/>
        </w:trPr>
        <w:tc>
          <w:tcPr>
            <w:tcW w:type="dxa" w:w="893"/>
            <w:tcMar>
              <w:top w:w="80" w:type="dxa"/>
              <w:start w:w="120" w:type="dxa"/>
              <w:bottom w:w="80" w:type="dxa"/>
              <w:end w:w="120" w:type="dxa"/>
            </w:tcMar>
            <w:vAlign w:val="top"/>
          </w:tcPr>
          <w:p>
            <w:pPr>
              <w:spacing w:after="0" w:line="276" w:lineRule="auto"/>
            </w:pPr>
            <w:r>
              <w:rPr>
                <w:sz w:val="18"/>
              </w:rPr>
              <w:t>CRA-F06</w:t>
            </w:r>
          </w:p>
        </w:tc>
        <w:tc>
          <w:tcPr>
            <w:tcW w:type="dxa" w:w="1613"/>
            <w:tcMar>
              <w:top w:w="80" w:type="dxa"/>
              <w:start w:w="120" w:type="dxa"/>
              <w:bottom w:w="80" w:type="dxa"/>
              <w:end w:w="120" w:type="dxa"/>
            </w:tcMar>
            <w:vAlign w:val="top"/>
          </w:tcPr>
          <w:p>
            <w:pPr>
              <w:spacing w:after="0" w:line="276" w:lineRule="auto"/>
            </w:pPr>
            <w:r>
              <w:rPr>
                <w:sz w:val="18"/>
              </w:rPr>
              <w:t>Adapters and interoperability</w:t>
            </w:r>
          </w:p>
        </w:tc>
        <w:tc>
          <w:tcPr>
            <w:tcW w:type="dxa" w:w="936"/>
            <w:tcMar>
              <w:top w:w="80" w:type="dxa"/>
              <w:start w:w="120" w:type="dxa"/>
              <w:bottom w:w="80" w:type="dxa"/>
              <w:end w:w="120" w:type="dxa"/>
            </w:tcMar>
            <w:vAlign w:val="top"/>
          </w:tcPr>
          <w:p>
            <w:pPr>
              <w:spacing w:after="0" w:line="276" w:lineRule="auto"/>
            </w:pPr>
            <w:r>
              <w:rPr>
                <w:sz w:val="18"/>
              </w:rPr>
              <w:t>OPEN</w:t>
            </w:r>
          </w:p>
        </w:tc>
        <w:tc>
          <w:tcPr>
            <w:tcW w:type="dxa" w:w="3672"/>
            <w:tcMar>
              <w:top w:w="80" w:type="dxa"/>
              <w:start w:w="120" w:type="dxa"/>
              <w:bottom w:w="80" w:type="dxa"/>
              <w:end w:w="120" w:type="dxa"/>
            </w:tcMar>
            <w:vAlign w:val="top"/>
          </w:tcPr>
          <w:p>
            <w:pPr>
              <w:spacing w:after="0" w:line="276" w:lineRule="auto"/>
            </w:pPr>
            <w:r>
              <w:rPr>
                <w:sz w:val="18"/>
              </w:rPr>
              <w:t>Independent runtimes exchange versioned CRA records across additional executed Crossing profiles.</w:t>
            </w:r>
          </w:p>
        </w:tc>
        <w:tc>
          <w:tcPr>
            <w:tcW w:type="dxa" w:w="2246"/>
            <w:tcMar>
              <w:top w:w="80" w:type="dxa"/>
              <w:start w:w="120" w:type="dxa"/>
              <w:bottom w:w="80" w:type="dxa"/>
              <w:end w:w="120" w:type="dxa"/>
            </w:tcMar>
            <w:vAlign w:val="top"/>
          </w:tcPr>
          <w:p>
            <w:pPr>
              <w:spacing w:after="0" w:line="276" w:lineRule="auto"/>
            </w:pPr>
            <w:r>
              <w:rPr>
                <w:sz w:val="18"/>
              </w:rPr>
              <w:t>Run the external closure protocol for CRA-F06; then Reassess the release claim.</w:t>
            </w:r>
          </w:p>
        </w:tc>
      </w:tr>
    </w:tbl>
    <w:p>
      <w:pPr>
        <w:spacing w:after="0" w:line="168" w:lineRule="auto"/>
      </w:pPr>
    </w:p>
    <w:p>
      <w:r>
        <w:t>Executed disposition universe: 9 predecessor roots; 20 laws; 12 profiles; 6 carried OPEN frontiers. Status inheritance: forbidden.</w:t>
      </w:r>
    </w:p>
    <w:p>
      <w:pPr>
        <w:pStyle w:val="Heading1"/>
      </w:pPr>
      <w:r>
        <w:t>Structural Lexicon</w:t>
      </w:r>
    </w:p>
    <w:p>
      <w:r>
        <w:t>The optional Structural Lexicon is a lookup-only sidecar containing 268 structural terms in 10 categories. It preserves vocabulary from CRA, TSP, Coherence Machine, Leverage Machine, Architecture+, DSA, and DST while keeping historical and domain terms out of the seven-root kernel.</w:t>
      </w:r>
    </w:p>
    <w:p>
      <w:r>
        <w:rPr>
          <w:b/>
        </w:rPr>
        <w:t>Naming or matching a term never activates a CRA root, operator, profile, guarantee, Judgment, Standing, authority, or Effect.</w:t>
      </w:r>
    </w:p>
    <w:tbl>
      <w:tblPr>
        <w:tblStyle w:val="TableGrid"/>
        <w:tblW w:type="dxa" w:w="9360"/>
        <w:tblLayout w:type="fixed"/>
        <w:tblLook w:firstColumn="1" w:firstRow="1" w:lastColumn="0" w:lastRow="0" w:noHBand="0" w:noVBand="1" w:val="04A0"/>
        <w:jc w:val="center"/>
        <w:tblInd w:w="120" w:type="dxa"/>
      </w:tblPr>
      <w:tblGrid>
        <w:gridCol w:w="3816"/>
        <w:gridCol w:w="864"/>
        <w:gridCol w:w="3816"/>
        <w:gridCol w:w="864"/>
      </w:tblGrid>
      <w:tr>
        <w:trPr>
          <w:tblHeader/>
          <w:cantSplit/>
        </w:trPr>
        <w:tc>
          <w:tcPr>
            <w:tcW w:type="dxa" w:w="3816"/>
            <w:shd w:fill="DCE9F3"/>
            <w:tcMar>
              <w:top w:w="80" w:type="dxa"/>
              <w:start w:w="120" w:type="dxa"/>
              <w:bottom w:w="80" w:type="dxa"/>
              <w:end w:w="120" w:type="dxa"/>
            </w:tcMar>
            <w:vAlign w:val="center"/>
          </w:tcPr>
          <w:p>
            <w:pPr>
              <w:spacing w:after="0"/>
            </w:pPr>
            <w:r>
              <w:rPr>
                <w:b/>
                <w:color w:val="17324D"/>
                <w:sz w:val="18"/>
              </w:rPr>
              <w:t>Category</w:t>
            </w:r>
          </w:p>
        </w:tc>
        <w:tc>
          <w:tcPr>
            <w:tcW w:type="dxa" w:w="864"/>
            <w:shd w:fill="DCE9F3"/>
            <w:tcMar>
              <w:top w:w="80" w:type="dxa"/>
              <w:start w:w="120" w:type="dxa"/>
              <w:bottom w:w="80" w:type="dxa"/>
              <w:end w:w="120" w:type="dxa"/>
            </w:tcMar>
            <w:vAlign w:val="center"/>
          </w:tcPr>
          <w:p>
            <w:pPr>
              <w:spacing w:after="0"/>
            </w:pPr>
            <w:r>
              <w:rPr>
                <w:b/>
                <w:color w:val="17324D"/>
                <w:sz w:val="18"/>
              </w:rPr>
              <w:t>Terms</w:t>
            </w:r>
          </w:p>
        </w:tc>
        <w:tc>
          <w:tcPr>
            <w:tcW w:type="dxa" w:w="3816"/>
            <w:shd w:fill="DCE9F3"/>
            <w:tcMar>
              <w:top w:w="80" w:type="dxa"/>
              <w:start w:w="120" w:type="dxa"/>
              <w:bottom w:w="80" w:type="dxa"/>
              <w:end w:w="120" w:type="dxa"/>
            </w:tcMar>
            <w:vAlign w:val="center"/>
          </w:tcPr>
          <w:p>
            <w:pPr>
              <w:spacing w:after="0"/>
            </w:pPr>
            <w:r>
              <w:rPr>
                <w:b/>
                <w:color w:val="17324D"/>
                <w:sz w:val="18"/>
              </w:rPr>
              <w:t>Category</w:t>
            </w:r>
          </w:p>
        </w:tc>
        <w:tc>
          <w:tcPr>
            <w:tcW w:type="dxa" w:w="864"/>
            <w:shd w:fill="DCE9F3"/>
            <w:tcMar>
              <w:top w:w="80" w:type="dxa"/>
              <w:start w:w="120" w:type="dxa"/>
              <w:bottom w:w="80" w:type="dxa"/>
              <w:end w:w="120" w:type="dxa"/>
            </w:tcMar>
            <w:vAlign w:val="center"/>
          </w:tcPr>
          <w:p>
            <w:pPr>
              <w:spacing w:after="0"/>
            </w:pPr>
            <w:r>
              <w:rPr>
                <w:b/>
                <w:color w:val="17324D"/>
                <w:sz w:val="18"/>
              </w:rPr>
              <w:t>Terms</w:t>
            </w:r>
          </w:p>
        </w:tc>
      </w:tr>
      <w:tr>
        <w:trPr>
          <w:cantSplit/>
        </w:trPr>
        <w:tc>
          <w:tcPr>
            <w:tcW w:type="dxa" w:w="3816"/>
            <w:tcMar>
              <w:top w:w="80" w:type="dxa"/>
              <w:start w:w="120" w:type="dxa"/>
              <w:bottom w:w="80" w:type="dxa"/>
              <w:end w:w="120" w:type="dxa"/>
            </w:tcMar>
            <w:vAlign w:val="top"/>
          </w:tcPr>
          <w:p>
            <w:pPr>
              <w:spacing w:after="0" w:line="276" w:lineRule="auto"/>
            </w:pPr>
            <w:r>
              <w:rPr>
                <w:sz w:val="18"/>
              </w:rPr>
              <w:t>kernel-and-return</w:t>
            </w:r>
          </w:p>
        </w:tc>
        <w:tc>
          <w:tcPr>
            <w:tcW w:type="dxa" w:w="864"/>
            <w:tcMar>
              <w:top w:w="80" w:type="dxa"/>
              <w:start w:w="120" w:type="dxa"/>
              <w:bottom w:w="80" w:type="dxa"/>
              <w:end w:w="120" w:type="dxa"/>
            </w:tcMar>
            <w:vAlign w:val="top"/>
          </w:tcPr>
          <w:p>
            <w:pPr>
              <w:spacing w:after="0" w:line="276" w:lineRule="auto"/>
            </w:pPr>
            <w:r>
              <w:rPr>
                <w:sz w:val="18"/>
              </w:rPr>
              <w:t>34</w:t>
            </w:r>
          </w:p>
        </w:tc>
        <w:tc>
          <w:tcPr>
            <w:tcW w:type="dxa" w:w="3816"/>
            <w:tcMar>
              <w:top w:w="80" w:type="dxa"/>
              <w:start w:w="120" w:type="dxa"/>
              <w:bottom w:w="80" w:type="dxa"/>
              <w:end w:w="120" w:type="dxa"/>
            </w:tcMar>
            <w:vAlign w:val="top"/>
          </w:tcPr>
          <w:p>
            <w:pPr>
              <w:spacing w:after="0" w:line="276" w:lineRule="auto"/>
            </w:pPr>
            <w:r>
              <w:rPr>
                <w:sz w:val="18"/>
              </w:rPr>
              <w:t>source-carrier-runtime</w:t>
            </w:r>
          </w:p>
        </w:tc>
        <w:tc>
          <w:tcPr>
            <w:tcW w:type="dxa" w:w="864"/>
            <w:tcMar>
              <w:top w:w="80" w:type="dxa"/>
              <w:start w:w="120" w:type="dxa"/>
              <w:bottom w:w="80" w:type="dxa"/>
              <w:end w:w="120" w:type="dxa"/>
            </w:tcMar>
            <w:vAlign w:val="top"/>
          </w:tcPr>
          <w:p>
            <w:pPr>
              <w:spacing w:after="0" w:line="276" w:lineRule="auto"/>
            </w:pPr>
            <w:r>
              <w:rPr>
                <w:sz w:val="18"/>
              </w:rPr>
              <w:t>25</w:t>
            </w:r>
          </w:p>
        </w:tc>
      </w:tr>
      <w:tr>
        <w:trPr>
          <w:cantSplit/>
        </w:trPr>
        <w:tc>
          <w:tcPr>
            <w:tcW w:type="dxa" w:w="3816"/>
            <w:tcMar>
              <w:top w:w="80" w:type="dxa"/>
              <w:start w:w="120" w:type="dxa"/>
              <w:bottom w:w="80" w:type="dxa"/>
              <w:end w:w="120" w:type="dxa"/>
            </w:tcMar>
            <w:vAlign w:val="top"/>
          </w:tcPr>
          <w:p>
            <w:pPr>
              <w:spacing w:after="0" w:line="276" w:lineRule="auto"/>
            </w:pPr>
            <w:r>
              <w:rPr>
                <w:sz w:val="18"/>
              </w:rPr>
              <w:t>operators</w:t>
            </w:r>
          </w:p>
        </w:tc>
        <w:tc>
          <w:tcPr>
            <w:tcW w:type="dxa" w:w="864"/>
            <w:tcMar>
              <w:top w:w="80" w:type="dxa"/>
              <w:start w:w="120" w:type="dxa"/>
              <w:bottom w:w="80" w:type="dxa"/>
              <w:end w:w="120" w:type="dxa"/>
            </w:tcMar>
            <w:vAlign w:val="top"/>
          </w:tcPr>
          <w:p>
            <w:pPr>
              <w:spacing w:after="0" w:line="276" w:lineRule="auto"/>
            </w:pPr>
            <w:r>
              <w:rPr>
                <w:sz w:val="18"/>
              </w:rPr>
              <w:t>7</w:t>
            </w:r>
          </w:p>
        </w:tc>
        <w:tc>
          <w:tcPr>
            <w:tcW w:type="dxa" w:w="3816"/>
            <w:tcMar>
              <w:top w:w="80" w:type="dxa"/>
              <w:start w:w="120" w:type="dxa"/>
              <w:bottom w:w="80" w:type="dxa"/>
              <w:end w:w="120" w:type="dxa"/>
            </w:tcMar>
            <w:vAlign w:val="top"/>
          </w:tcPr>
          <w:p>
            <w:pPr>
              <w:spacing w:after="0" w:line="276" w:lineRule="auto"/>
            </w:pPr>
            <w:r>
              <w:rPr>
                <w:sz w:val="18"/>
              </w:rPr>
              <w:t>dynamics-viability-action</w:t>
            </w:r>
          </w:p>
        </w:tc>
        <w:tc>
          <w:tcPr>
            <w:tcW w:type="dxa" w:w="864"/>
            <w:tcMar>
              <w:top w:w="80" w:type="dxa"/>
              <w:start w:w="120" w:type="dxa"/>
              <w:bottom w:w="80" w:type="dxa"/>
              <w:end w:w="120" w:type="dxa"/>
            </w:tcMar>
            <w:vAlign w:val="top"/>
          </w:tcPr>
          <w:p>
            <w:pPr>
              <w:spacing w:after="0" w:line="276" w:lineRule="auto"/>
            </w:pPr>
            <w:r>
              <w:rPr>
                <w:sz w:val="18"/>
              </w:rPr>
              <w:t>57</w:t>
            </w:r>
          </w:p>
        </w:tc>
      </w:tr>
      <w:tr>
        <w:trPr>
          <w:cantSplit/>
        </w:trPr>
        <w:tc>
          <w:tcPr>
            <w:tcW w:type="dxa" w:w="3816"/>
            <w:tcMar>
              <w:top w:w="80" w:type="dxa"/>
              <w:start w:w="120" w:type="dxa"/>
              <w:bottom w:w="80" w:type="dxa"/>
              <w:end w:w="120" w:type="dxa"/>
            </w:tcMar>
            <w:vAlign w:val="top"/>
          </w:tcPr>
          <w:p>
            <w:pPr>
              <w:spacing w:after="0" w:line="276" w:lineRule="auto"/>
            </w:pPr>
            <w:r>
              <w:rPr>
                <w:sz w:val="18"/>
              </w:rPr>
              <w:t>crossing-and-composition</w:t>
            </w:r>
          </w:p>
        </w:tc>
        <w:tc>
          <w:tcPr>
            <w:tcW w:type="dxa" w:w="864"/>
            <w:tcMar>
              <w:top w:w="80" w:type="dxa"/>
              <w:start w:w="120" w:type="dxa"/>
              <w:bottom w:w="80" w:type="dxa"/>
              <w:end w:w="120" w:type="dxa"/>
            </w:tcMar>
            <w:vAlign w:val="top"/>
          </w:tcPr>
          <w:p>
            <w:pPr>
              <w:spacing w:after="0" w:line="276" w:lineRule="auto"/>
            </w:pPr>
            <w:r>
              <w:rPr>
                <w:sz w:val="18"/>
              </w:rPr>
              <w:t>33</w:t>
            </w:r>
          </w:p>
        </w:tc>
        <w:tc>
          <w:tcPr>
            <w:tcW w:type="dxa" w:w="3816"/>
            <w:tcMar>
              <w:top w:w="80" w:type="dxa"/>
              <w:start w:w="120" w:type="dxa"/>
              <w:bottom w:w="80" w:type="dxa"/>
              <w:end w:w="120" w:type="dxa"/>
            </w:tcMar>
            <w:vAlign w:val="top"/>
          </w:tcPr>
          <w:p>
            <w:pPr>
              <w:spacing w:after="0" w:line="276" w:lineRule="auto"/>
            </w:pPr>
            <w:r>
              <w:rPr>
                <w:sz w:val="18"/>
              </w:rPr>
              <w:t>reduction-qualification</w:t>
            </w:r>
          </w:p>
        </w:tc>
        <w:tc>
          <w:tcPr>
            <w:tcW w:type="dxa" w:w="864"/>
            <w:tcMar>
              <w:top w:w="80" w:type="dxa"/>
              <w:start w:w="120" w:type="dxa"/>
              <w:bottom w:w="80" w:type="dxa"/>
              <w:end w:w="120" w:type="dxa"/>
            </w:tcMar>
            <w:vAlign w:val="top"/>
          </w:tcPr>
          <w:p>
            <w:pPr>
              <w:spacing w:after="0" w:line="276" w:lineRule="auto"/>
            </w:pPr>
            <w:r>
              <w:rPr>
                <w:sz w:val="18"/>
              </w:rPr>
              <w:t>28</w:t>
            </w:r>
          </w:p>
        </w:tc>
      </w:tr>
      <w:tr>
        <w:trPr>
          <w:cantSplit/>
        </w:trPr>
        <w:tc>
          <w:tcPr>
            <w:tcW w:type="dxa" w:w="3816"/>
            <w:tcMar>
              <w:top w:w="80" w:type="dxa"/>
              <w:start w:w="120" w:type="dxa"/>
              <w:bottom w:w="80" w:type="dxa"/>
              <w:end w:w="120" w:type="dxa"/>
            </w:tcMar>
            <w:vAlign w:val="top"/>
          </w:tcPr>
          <w:p>
            <w:pPr>
              <w:spacing w:after="0" w:line="276" w:lineRule="auto"/>
            </w:pPr>
            <w:r>
              <w:rPr>
                <w:sz w:val="18"/>
              </w:rPr>
              <w:t>support-authority-obligation</w:t>
            </w:r>
          </w:p>
        </w:tc>
        <w:tc>
          <w:tcPr>
            <w:tcW w:type="dxa" w:w="864"/>
            <w:tcMar>
              <w:top w:w="80" w:type="dxa"/>
              <w:start w:w="120" w:type="dxa"/>
              <w:bottom w:w="80" w:type="dxa"/>
              <w:end w:w="120" w:type="dxa"/>
            </w:tcMar>
            <w:vAlign w:val="top"/>
          </w:tcPr>
          <w:p>
            <w:pPr>
              <w:spacing w:after="0" w:line="276" w:lineRule="auto"/>
            </w:pPr>
            <w:r>
              <w:rPr>
                <w:sz w:val="18"/>
              </w:rPr>
              <w:t>27</w:t>
            </w:r>
          </w:p>
        </w:tc>
        <w:tc>
          <w:tcPr>
            <w:tcW w:type="dxa" w:w="3816"/>
            <w:tcMar>
              <w:top w:w="80" w:type="dxa"/>
              <w:start w:w="120" w:type="dxa"/>
              <w:bottom w:w="80" w:type="dxa"/>
              <w:end w:w="120" w:type="dxa"/>
            </w:tcMar>
            <w:vAlign w:val="top"/>
          </w:tcPr>
          <w:p>
            <w:pPr>
              <w:spacing w:after="0" w:line="276" w:lineRule="auto"/>
            </w:pPr>
            <w:r>
              <w:rPr>
                <w:sz w:val="18"/>
              </w:rPr>
              <w:t>open-frontiers</w:t>
            </w:r>
          </w:p>
        </w:tc>
        <w:tc>
          <w:tcPr>
            <w:tcW w:type="dxa" w:w="864"/>
            <w:tcMar>
              <w:top w:w="80" w:type="dxa"/>
              <w:start w:w="120" w:type="dxa"/>
              <w:bottom w:w="80" w:type="dxa"/>
              <w:end w:w="120" w:type="dxa"/>
            </w:tcMar>
            <w:vAlign w:val="top"/>
          </w:tcPr>
          <w:p>
            <w:pPr>
              <w:spacing w:after="0" w:line="276" w:lineRule="auto"/>
            </w:pPr>
            <w:r>
              <w:rPr>
                <w:sz w:val="18"/>
              </w:rPr>
              <w:t>14</w:t>
            </w:r>
          </w:p>
        </w:tc>
      </w:tr>
      <w:tr>
        <w:trPr>
          <w:cantSplit/>
        </w:trPr>
        <w:tc>
          <w:tcPr>
            <w:tcW w:type="dxa" w:w="3816"/>
            <w:tcMar>
              <w:top w:w="80" w:type="dxa"/>
              <w:start w:w="120" w:type="dxa"/>
              <w:bottom w:w="80" w:type="dxa"/>
              <w:end w:w="120" w:type="dxa"/>
            </w:tcMar>
            <w:vAlign w:val="top"/>
          </w:tcPr>
          <w:p>
            <w:pPr>
              <w:spacing w:after="0" w:line="276" w:lineRule="auto"/>
            </w:pPr>
            <w:r>
              <w:rPr>
                <w:sz w:val="18"/>
              </w:rPr>
              <w:t>findings-and-parser</w:t>
            </w:r>
          </w:p>
        </w:tc>
        <w:tc>
          <w:tcPr>
            <w:tcW w:type="dxa" w:w="864"/>
            <w:tcMar>
              <w:top w:w="80" w:type="dxa"/>
              <w:start w:w="120" w:type="dxa"/>
              <w:bottom w:w="80" w:type="dxa"/>
              <w:end w:w="120" w:type="dxa"/>
            </w:tcMar>
            <w:vAlign w:val="top"/>
          </w:tcPr>
          <w:p>
            <w:pPr>
              <w:spacing w:after="0" w:line="276" w:lineRule="auto"/>
            </w:pPr>
            <w:r>
              <w:rPr>
                <w:sz w:val="18"/>
              </w:rPr>
              <w:t>23</w:t>
            </w:r>
          </w:p>
        </w:tc>
        <w:tc>
          <w:tcPr>
            <w:tcW w:type="dxa" w:w="3816"/>
            <w:tcMar>
              <w:top w:w="80" w:type="dxa"/>
              <w:start w:w="120" w:type="dxa"/>
              <w:bottom w:w="80" w:type="dxa"/>
              <w:end w:w="120" w:type="dxa"/>
            </w:tcMar>
            <w:vAlign w:val="top"/>
          </w:tcPr>
          <w:p>
            <w:pPr>
              <w:spacing w:after="0" w:line="276" w:lineRule="auto"/>
            </w:pPr>
            <w:r>
              <w:rPr>
                <w:sz w:val="18"/>
              </w:rPr>
              <w:t>retired-and-superseded</w:t>
            </w:r>
          </w:p>
        </w:tc>
        <w:tc>
          <w:tcPr>
            <w:tcW w:type="dxa" w:w="864"/>
            <w:tcMar>
              <w:top w:w="80" w:type="dxa"/>
              <w:start w:w="120" w:type="dxa"/>
              <w:bottom w:w="80" w:type="dxa"/>
              <w:end w:w="120" w:type="dxa"/>
            </w:tcMar>
            <w:vAlign w:val="top"/>
          </w:tcPr>
          <w:p>
            <w:pPr>
              <w:spacing w:after="0" w:line="276" w:lineRule="auto"/>
            </w:pPr>
            <w:r>
              <w:rPr>
                <w:sz w:val="18"/>
              </w:rPr>
              <w:t>20</w:t>
            </w:r>
          </w:p>
        </w:tc>
      </w:tr>
    </w:tbl>
    <w:p>
      <w:pPr>
        <w:spacing w:after="0" w:line="168" w:lineRule="auto"/>
      </w:pPr>
    </w:p>
    <w:p>
      <w:pPr>
        <w:pStyle w:val="Heading1"/>
      </w:pPr>
      <w:r>
        <w:t>What changed</w:t>
      </w:r>
    </w:p>
    <w:p>
      <w:pPr>
        <w:keepNext/>
      </w:pPr>
      <w:r>
        <w:t>v1.1 preserves the seven-root federation kernel introduced in v1.0 and repairs its release carrier. Context remains derived; Bridge remains verified Correspondence; Account remains bilateral; Standing remains destination-only; exact noncompletion and predecessor-frontier succession are now executable contracts.</w:t>
      </w:r>
    </w:p>
    <w:tbl>
      <w:tblPr>
        <w:tblStyle w:val="TableGrid"/>
        <w:tblW w:type="dxa" w:w="9360"/>
        <w:tblLayout w:type="fixed"/>
        <w:tblLook w:firstColumn="1" w:firstRow="1" w:lastColumn="0" w:lastRow="0" w:noHBand="0" w:noVBand="1" w:val="04A0"/>
        <w:jc w:val="center"/>
        <w:tblInd w:w="120" w:type="dxa"/>
      </w:tblPr>
      <w:tblGrid>
        <w:gridCol w:w="1800"/>
        <w:gridCol w:w="7560"/>
      </w:tblGrid>
      <w:tr>
        <w:trPr>
          <w:tblHeader/>
          <w:cantSplit/>
        </w:trPr>
        <w:tc>
          <w:tcPr>
            <w:tcW w:type="dxa" w:w="1800"/>
            <w:shd w:fill="DCE9F3"/>
            <w:tcMar>
              <w:top w:w="80" w:type="dxa"/>
              <w:start w:w="120" w:type="dxa"/>
              <w:bottom w:w="80" w:type="dxa"/>
              <w:end w:w="120" w:type="dxa"/>
            </w:tcMar>
            <w:vAlign w:val="center"/>
          </w:tcPr>
          <w:p>
            <w:pPr>
              <w:spacing w:after="0"/>
            </w:pPr>
            <w:r>
              <w:rPr>
                <w:b/>
                <w:color w:val="17324D"/>
                <w:sz w:val="18"/>
              </w:rPr>
              <w:t>v1.1</w:t>
            </w:r>
          </w:p>
        </w:tc>
        <w:tc>
          <w:tcPr>
            <w:tcW w:type="dxa" w:w="7560"/>
            <w:shd w:fill="DCE9F3"/>
            <w:tcMar>
              <w:top w:w="80" w:type="dxa"/>
              <w:start w:w="120" w:type="dxa"/>
              <w:bottom w:w="80" w:type="dxa"/>
              <w:end w:w="120" w:type="dxa"/>
            </w:tcMar>
            <w:vAlign w:val="center"/>
          </w:tcPr>
          <w:p>
            <w:pPr>
              <w:spacing w:after="0"/>
            </w:pPr>
            <w:r>
              <w:rPr>
                <w:b/>
                <w:color w:val="17324D"/>
                <w:sz w:val="18"/>
              </w:rPr>
              <w:t>Conserved and removed across the research line</w:t>
            </w:r>
          </w:p>
        </w:tc>
      </w:tr>
      <w:tr>
        <w:trPr>
          <w:cantSplit/>
        </w:trPr>
        <w:tc>
          <w:tcPr>
            <w:tcW w:type="dxa" w:w="1800"/>
            <w:tcMar>
              <w:top w:w="80" w:type="dxa"/>
              <w:start w:w="120" w:type="dxa"/>
              <w:bottom w:w="80" w:type="dxa"/>
              <w:end w:w="120" w:type="dxa"/>
            </w:tcMar>
            <w:vAlign w:val="top"/>
          </w:tcPr>
          <w:p>
            <w:pPr>
              <w:spacing w:after="0" w:line="276" w:lineRule="auto"/>
            </w:pPr>
            <w:r>
              <w:rPr>
                <w:sz w:val="18"/>
              </w:rPr>
              <w:t>Preserved</w:t>
            </w:r>
          </w:p>
        </w:tc>
        <w:tc>
          <w:tcPr>
            <w:tcW w:type="dxa" w:w="7560"/>
            <w:tcMar>
              <w:top w:w="80" w:type="dxa"/>
              <w:start w:w="120" w:type="dxa"/>
              <w:bottom w:w="80" w:type="dxa"/>
              <w:end w:w="120" w:type="dxa"/>
            </w:tcMar>
            <w:vAlign w:val="top"/>
          </w:tcPr>
          <w:p>
            <w:pPr>
              <w:spacing w:after="0" w:line="276" w:lineRule="auto"/>
            </w:pPr>
            <w:r>
              <w:rPr>
                <w:sz w:val="18"/>
              </w:rPr>
              <w:t>status locality; noninheritance; typed passage; destination admission; obligation accounting; reality separation; selective reopening; exact noncompletion; typed exact noncompletion; frontier identity and reentry; status noninheritance</w:t>
            </w:r>
          </w:p>
        </w:tc>
      </w:tr>
      <w:tr>
        <w:trPr>
          <w:cantSplit/>
        </w:trPr>
        <w:tc>
          <w:tcPr>
            <w:tcW w:type="dxa" w:w="1800"/>
            <w:tcMar>
              <w:top w:w="80" w:type="dxa"/>
              <w:start w:w="120" w:type="dxa"/>
              <w:bottom w:w="80" w:type="dxa"/>
              <w:end w:w="120" w:type="dxa"/>
            </w:tcMar>
            <w:vAlign w:val="top"/>
          </w:tcPr>
          <w:p>
            <w:pPr>
              <w:spacing w:after="0" w:line="276" w:lineRule="auto"/>
            </w:pPr>
            <w:r>
              <w:rPr>
                <w:sz w:val="18"/>
              </w:rPr>
              <w:t>Removed</w:t>
            </w:r>
          </w:p>
        </w:tc>
        <w:tc>
          <w:tcPr>
            <w:tcW w:type="dxa" w:w="7560"/>
            <w:tcMar>
              <w:top w:w="80" w:type="dxa"/>
              <w:start w:w="120" w:type="dxa"/>
              <w:bottom w:w="80" w:type="dxa"/>
              <w:end w:w="120" w:type="dxa"/>
            </w:tcMar>
            <w:vAlign w:val="top"/>
          </w:tcPr>
          <w:p>
            <w:pPr>
              <w:spacing w:after="0" w:line="276" w:lineRule="auto"/>
            </w:pPr>
            <w:r>
              <w:rPr>
                <w:sz w:val="18"/>
              </w:rPr>
              <w:t>one universal Candidate-to-Commit spine; one global Status algebra; one numeric proof ceiling; twelve mutually exclusive Crossing kinds; self-declared Bridge semantics; privileged-predecessor composition; universal atomic Commit</w:t>
            </w:r>
          </w:p>
        </w:tc>
      </w:tr>
    </w:tbl>
    <w:p>
      <w:pPr>
        <w:spacing w:after="0" w:line="168" w:lineRule="auto"/>
      </w:pPr>
    </w:p>
    <w:p>
      <w:pPr>
        <w:pStyle w:val="Heading1"/>
        <w:spacing w:before="200" w:after="120"/>
      </w:pPr>
      <w:r>
        <w:t>Established foundations</w:t>
      </w: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Goguen and Burstall, Institutions: Abstract Model Theory for Specification and Programming. </w:t>
            </w:r>
            <w:hyperlink r:id="rId11" w:history="1">
              <w:r>
                <w:rPr>
                  <w:color w:val="2E74B5"/>
                  <w:u w:val="single"/>
                  <w:sz w:val="18"/>
                </w:rPr>
                <w:t>Source</w:t>
              </w:r>
            </w:hyperlink>
          </w:p>
        </w:tc>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W3C PROV Data Model and PROV Constraints. </w:t>
            </w:r>
            <w:hyperlink r:id="rId14" w:history="1">
              <w:r>
                <w:rPr>
                  <w:color w:val="2E74B5"/>
                  <w:u w:val="single"/>
                  <w:sz w:val="18"/>
                </w:rPr>
                <w:t>Source</w:t>
              </w:r>
            </w:hyperlink>
          </w:p>
        </w:tc>
      </w:tr>
      <w:tr>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Cousot and Cousot, Abstract Interpretation. </w:t>
            </w:r>
            <w:hyperlink r:id="rId12" w:history="1">
              <w:r>
                <w:rPr>
                  <w:color w:val="2E74B5"/>
                  <w:u w:val="single"/>
                  <w:sz w:val="18"/>
                </w:rPr>
                <w:t>Source</w:t>
              </w:r>
            </w:hyperlink>
          </w:p>
        </w:tc>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Dung, On the Acceptability of Arguments. </w:t>
            </w:r>
            <w:hyperlink r:id="rId15" w:history="1">
              <w:r>
                <w:rPr>
                  <w:color w:val="2E74B5"/>
                  <w:u w:val="single"/>
                  <w:sz w:val="18"/>
                </w:rPr>
                <w:t>Source</w:t>
              </w:r>
            </w:hyperlink>
          </w:p>
        </w:tc>
      </w:tr>
      <w:tr>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Foster et al., Combinators for Bi-Directional Tree Transformations. </w:t>
            </w:r>
            <w:hyperlink r:id="rId13" w:history="1">
              <w:r>
                <w:rPr>
                  <w:color w:val="2E74B5"/>
                  <w:u w:val="single"/>
                  <w:sz w:val="18"/>
                </w:rPr>
                <w:t>Source</w:t>
              </w:r>
            </w:hyperlink>
          </w:p>
        </w:tc>
        <w:tc>
          <w:tcPr>
            <w:tcW w:type="dxa" w:w="4680"/>
            <w:tcMar>
              <w:top w:w="45" w:type="dxa"/>
              <w:start w:w="120" w:type="dxa"/>
              <w:bottom w:w="45" w:type="dxa"/>
              <w:end w:w="120" w:type="dxa"/>
            </w:tcMar>
            <w:tcBorders>
              <w:top w:val="nil"/>
              <w:left w:val="nil"/>
              <w:bottom w:val="nil"/>
              <w:right w:val="nil"/>
            </w:tcBorders>
          </w:tcPr>
          <w:p>
            <w:pPr>
              <w:spacing w:after="0" w:line="259" w:lineRule="auto"/>
            </w:pPr>
            <w:r>
              <w:rPr>
                <w:b/>
                <w:sz w:val="17"/>
              </w:rPr>
              <w:t xml:space="preserve">NIST SP 800-207, Zero Trust Architecture. </w:t>
            </w:r>
            <w:hyperlink r:id="rId16" w:history="1">
              <w:r>
                <w:rPr>
                  <w:color w:val="2E74B5"/>
                  <w:u w:val="single"/>
                  <w:sz w:val="18"/>
                </w:rPr>
                <w:t>Source</w:t>
              </w:r>
            </w:hyperlink>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B7D8A"/>
        <w:sz w:val="17"/>
      </w:rPr>
      <w:t xml:space="preserve">CURRENT RESEARCH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696"/>
      <w:gridCol w:w="2664"/>
    </w:tblGrid>
    <w:tr>
      <w:tc>
        <w:tcPr>
          <w:tcW w:type="dxa" w:w="6696"/>
          <w:tcBorders>
            <w:top w:val="nil"/>
            <w:left w:val="nil"/>
            <w:bottom w:val="nil"/>
            <w:right w:val="nil"/>
            <w:insideH w:val="nil"/>
            <w:insideV w:val="nil"/>
          </w:tcBorders>
        </w:tcPr>
        <w:p>
          <w:pPr>
            <w:spacing w:after="0"/>
          </w:pPr>
          <w:r>
            <w:rPr>
              <w:b/>
              <w:color w:val="526B7A"/>
              <w:sz w:val="17"/>
            </w:rPr>
            <w:t>CRA · CONTEXTUAL REBINDING ARCHITECTURE</w:t>
          </w:r>
        </w:p>
      </w:tc>
      <w:tc>
        <w:tcPr>
          <w:tcW w:type="dxa" w:w="2664"/>
          <w:tcBorders>
            <w:top w:val="nil"/>
            <w:left w:val="nil"/>
            <w:bottom w:val="nil"/>
            <w:right w:val="nil"/>
            <w:insideH w:val="nil"/>
            <w:insideV w:val="nil"/>
          </w:tcBorders>
        </w:tcPr>
        <w:p>
          <w:pPr>
            <w:spacing w:after="0"/>
            <w:jc w:val="right"/>
          </w:pPr>
          <w:r>
            <w:rPr>
              <w:color w:val="526B7A"/>
              <w:sz w:val="17"/>
            </w:rPr>
            <w:t>v1.1 · 08 AUG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2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147508.147524" TargetMode="External"/><Relationship Id="rId12" Type="http://schemas.openxmlformats.org/officeDocument/2006/relationships/hyperlink" Target="https://doi.org/10.1145/512950.512973" TargetMode="External"/><Relationship Id="rId13" Type="http://schemas.openxmlformats.org/officeDocument/2006/relationships/hyperlink" Target="https://www.cis.upenn.edu/~bcpierce/papers/lenses-toplas-final.pdf" TargetMode="External"/><Relationship Id="rId14" Type="http://schemas.openxmlformats.org/officeDocument/2006/relationships/hyperlink" Target="https://www.w3.org/TR/prov-overview/" TargetMode="External"/><Relationship Id="rId15" Type="http://schemas.openxmlformats.org/officeDocument/2006/relationships/hyperlink" Target="https://doi.org/10.1016/0004-3702(94)00041-X" TargetMode="External"/><Relationship Id="rId16" Type="http://schemas.openxmlformats.org/officeDocument/2006/relationships/hyperlink" Target="https://doi.org/10.6028/NIST.SP.8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