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4932" w14:textId="42383445" w:rsidR="00E80FAE" w:rsidRDefault="003B4151" w:rsidP="003B4151">
      <w:r>
        <w:t>“</w:t>
      </w:r>
      <w:r>
        <w:rPr>
          <w:rFonts w:hint="eastAsia"/>
        </w:rPr>
        <w:t>QQQ</w:t>
      </w:r>
      <w:r>
        <w:t>”</w:t>
      </w:r>
      <w:r>
        <w:rPr>
          <w:rFonts w:hint="eastAsia"/>
        </w:rPr>
        <w:t xml:space="preserve"> </w:t>
      </w:r>
      <w:r>
        <w:t>is t</w:t>
      </w:r>
      <w:r w:rsidRPr="003B4151">
        <w:t xml:space="preserve">he </w:t>
      </w:r>
      <w:r>
        <w:t>ETF</w:t>
      </w:r>
      <w:r w:rsidRPr="003B4151">
        <w:t xml:space="preserve"> seeks investment results that generally correspond to the price and yield performance of the NASDAQ-100 Index®. To maintain the correspondence between the composition and weights of the securities in the trust (the "securities") and the stocks in the NASDAQ-100 Index®, the adviser adjusts the securities from time to time to conform to periodic changes in the identity and/or relative weights of index securities. The composition and weighting of the securities portion of a portfolio deposit are also adjusted to conform to changes in the index.</w:t>
      </w:r>
    </w:p>
    <w:p w14:paraId="18F54E59" w14:textId="77777777" w:rsidR="003B4151" w:rsidRDefault="003B4151" w:rsidP="003B41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4151" w14:paraId="24689FF9" w14:textId="77777777" w:rsidTr="003B4151">
        <w:tc>
          <w:tcPr>
            <w:tcW w:w="2765" w:type="dxa"/>
          </w:tcPr>
          <w:p w14:paraId="77DF3109" w14:textId="2B6F8AEB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2765" w:type="dxa"/>
          </w:tcPr>
          <w:p w14:paraId="48691936" w14:textId="4ADD5131" w:rsidR="003B4151" w:rsidRDefault="008A4802" w:rsidP="003B4151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6" w:type="dxa"/>
          </w:tcPr>
          <w:p w14:paraId="02F8F8AC" w14:textId="264C2561" w:rsidR="003B4151" w:rsidRDefault="008A4802" w:rsidP="003B4151">
            <w:pPr>
              <w:rPr>
                <w:rFonts w:hint="eastAsia"/>
              </w:rPr>
            </w:pPr>
            <w:r>
              <w:t>Ratio (%)</w:t>
            </w:r>
          </w:p>
        </w:tc>
      </w:tr>
      <w:tr w:rsidR="003B4151" w14:paraId="4C1BC0F8" w14:textId="77777777" w:rsidTr="003B4151">
        <w:tc>
          <w:tcPr>
            <w:tcW w:w="2765" w:type="dxa"/>
          </w:tcPr>
          <w:p w14:paraId="5CCDE3DB" w14:textId="730DE4DC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APL</w:t>
            </w:r>
          </w:p>
        </w:tc>
        <w:tc>
          <w:tcPr>
            <w:tcW w:w="2765" w:type="dxa"/>
          </w:tcPr>
          <w:p w14:paraId="61AB3594" w14:textId="1BC7B66A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pple Inc.</w:t>
            </w:r>
          </w:p>
        </w:tc>
        <w:tc>
          <w:tcPr>
            <w:tcW w:w="2766" w:type="dxa"/>
          </w:tcPr>
          <w:p w14:paraId="003353A0" w14:textId="7FD35A35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1.27</w:t>
            </w:r>
          </w:p>
        </w:tc>
      </w:tr>
      <w:tr w:rsidR="003B4151" w14:paraId="3209D6C2" w14:textId="77777777" w:rsidTr="003B4151">
        <w:tc>
          <w:tcPr>
            <w:tcW w:w="2765" w:type="dxa"/>
          </w:tcPr>
          <w:p w14:paraId="5FC6CB80" w14:textId="484C97E4" w:rsidR="008A4802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SFT</w:t>
            </w:r>
          </w:p>
        </w:tc>
        <w:tc>
          <w:tcPr>
            <w:tcW w:w="2765" w:type="dxa"/>
          </w:tcPr>
          <w:p w14:paraId="6879DAD1" w14:textId="204F8711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icrosoft Corporation</w:t>
            </w:r>
          </w:p>
        </w:tc>
        <w:tc>
          <w:tcPr>
            <w:tcW w:w="2766" w:type="dxa"/>
          </w:tcPr>
          <w:p w14:paraId="25CC84A8" w14:textId="012C81C7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0.11</w:t>
            </w:r>
          </w:p>
        </w:tc>
      </w:tr>
      <w:tr w:rsidR="003B4151" w14:paraId="36F457E7" w14:textId="77777777" w:rsidTr="003B4151">
        <w:tc>
          <w:tcPr>
            <w:tcW w:w="2765" w:type="dxa"/>
          </w:tcPr>
          <w:p w14:paraId="3E808D05" w14:textId="105896A4" w:rsidR="003B4151" w:rsidRDefault="008A4802" w:rsidP="003B4151">
            <w:pPr>
              <w:rPr>
                <w:rFonts w:hint="eastAsia"/>
              </w:rPr>
            </w:pPr>
            <w:r>
              <w:t>AMZN</w:t>
            </w:r>
          </w:p>
        </w:tc>
        <w:tc>
          <w:tcPr>
            <w:tcW w:w="2765" w:type="dxa"/>
          </w:tcPr>
          <w:p w14:paraId="64AEC9AA" w14:textId="2319C485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mazon.com, Inc.</w:t>
            </w:r>
          </w:p>
        </w:tc>
        <w:tc>
          <w:tcPr>
            <w:tcW w:w="2766" w:type="dxa"/>
          </w:tcPr>
          <w:p w14:paraId="207B5839" w14:textId="331D038F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.79</w:t>
            </w:r>
          </w:p>
        </w:tc>
      </w:tr>
      <w:tr w:rsidR="003B4151" w14:paraId="2B9C0845" w14:textId="77777777" w:rsidTr="003B4151">
        <w:tc>
          <w:tcPr>
            <w:tcW w:w="2765" w:type="dxa"/>
          </w:tcPr>
          <w:p w14:paraId="56DD008C" w14:textId="7AA59F1A" w:rsidR="003B4151" w:rsidRDefault="008A4802" w:rsidP="003B4151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</w:t>
            </w:r>
            <w:r>
              <w:t>OG</w:t>
            </w:r>
          </w:p>
        </w:tc>
        <w:tc>
          <w:tcPr>
            <w:tcW w:w="2765" w:type="dxa"/>
          </w:tcPr>
          <w:p w14:paraId="776AED92" w14:textId="5E266C91" w:rsidR="003B4151" w:rsidRDefault="008A4802" w:rsidP="003B4151">
            <w:pPr>
              <w:rPr>
                <w:rFonts w:hint="eastAsia"/>
              </w:rPr>
            </w:pPr>
            <w:r>
              <w:t>Alphabet Inc.</w:t>
            </w:r>
          </w:p>
        </w:tc>
        <w:tc>
          <w:tcPr>
            <w:tcW w:w="2766" w:type="dxa"/>
          </w:tcPr>
          <w:p w14:paraId="5C28FDC3" w14:textId="709BF313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</w:tr>
      <w:tr w:rsidR="003B4151" w14:paraId="733D1FBE" w14:textId="77777777" w:rsidTr="003B4151">
        <w:tc>
          <w:tcPr>
            <w:tcW w:w="2765" w:type="dxa"/>
          </w:tcPr>
          <w:p w14:paraId="1BF5FE29" w14:textId="2757672C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</w:t>
            </w:r>
          </w:p>
        </w:tc>
        <w:tc>
          <w:tcPr>
            <w:tcW w:w="2765" w:type="dxa"/>
          </w:tcPr>
          <w:p w14:paraId="47241C1F" w14:textId="551EF4E3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eta Platforms, Inc.</w:t>
            </w:r>
          </w:p>
        </w:tc>
        <w:tc>
          <w:tcPr>
            <w:tcW w:w="2766" w:type="dxa"/>
          </w:tcPr>
          <w:p w14:paraId="4F57B810" w14:textId="7FEC89C6" w:rsidR="003B4151" w:rsidRDefault="008A4802" w:rsidP="003B41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.04</w:t>
            </w:r>
          </w:p>
        </w:tc>
      </w:tr>
    </w:tbl>
    <w:p w14:paraId="56B0EC64" w14:textId="0BE16BD8" w:rsidR="003B4151" w:rsidRDefault="008A4802" w:rsidP="003B4151">
      <w:r>
        <w:rPr>
          <w:rFonts w:hint="eastAsia"/>
        </w:rPr>
        <w:t>T</w:t>
      </w:r>
      <w:r>
        <w:t>able 1</w:t>
      </w:r>
    </w:p>
    <w:p w14:paraId="61F2F54A" w14:textId="11DDE59F" w:rsidR="008A4802" w:rsidRDefault="008A4802" w:rsidP="003B4151"/>
    <w:p w14:paraId="08BEB8D7" w14:textId="1D2FA944" w:rsidR="00E81E4C" w:rsidRPr="003B4151" w:rsidRDefault="00E81E4C" w:rsidP="003B4151">
      <w:pPr>
        <w:rPr>
          <w:rFonts w:hint="eastAsia"/>
        </w:rPr>
      </w:pPr>
      <w:r w:rsidRPr="00E81E4C">
        <w:t>Table 1 shows the proportions and company names of the top five holdings of "QQQ".</w:t>
      </w:r>
      <w:r>
        <w:t xml:space="preserve"> O</w:t>
      </w:r>
      <w:r w:rsidRPr="00E81E4C">
        <w:t>btain</w:t>
      </w:r>
      <w:r>
        <w:t>ing</w:t>
      </w:r>
      <w:r w:rsidRPr="00E81E4C">
        <w:t xml:space="preserve"> the historical stock prices listed in Table 1 from the </w:t>
      </w:r>
      <w:r w:rsidRPr="00E81E4C">
        <w:t>Internet</w:t>
      </w:r>
      <w:r>
        <w:t xml:space="preserve"> (yahoo finance)</w:t>
      </w:r>
      <w:r w:rsidRPr="00E81E4C">
        <w:t xml:space="preserve"> as training data. The selection range of training data is from January 2020 to December 2021. I </w:t>
      </w:r>
      <w:r>
        <w:t>applied</w:t>
      </w:r>
      <w:r w:rsidRPr="00E81E4C">
        <w:t xml:space="preserve"> a linear regression analysis using stock price data for 2020 and 2021. Secondly, the stock price from January to April this year is predicted through the results of regression </w:t>
      </w:r>
      <w:r>
        <w:t>model</w:t>
      </w:r>
      <w:r w:rsidRPr="00E81E4C">
        <w:t>. The predicted stock price is then plotted as a scatter plot.</w:t>
      </w:r>
    </w:p>
    <w:sectPr w:rsidR="00E81E4C" w:rsidRPr="003B4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3E"/>
    <w:rsid w:val="003B4151"/>
    <w:rsid w:val="004F3023"/>
    <w:rsid w:val="00701FE6"/>
    <w:rsid w:val="00765E3E"/>
    <w:rsid w:val="008A4802"/>
    <w:rsid w:val="00E80FAE"/>
    <w:rsid w:val="00E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D7AE"/>
  <w15:chartTrackingRefBased/>
  <w15:docId w15:val="{4E6169DC-2B5A-493D-BCDB-F0D09A5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03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Chin Ting</dc:creator>
  <cp:keywords/>
  <dc:description/>
  <cp:lastModifiedBy>Su, Chin Ting</cp:lastModifiedBy>
  <cp:revision>2</cp:revision>
  <dcterms:created xsi:type="dcterms:W3CDTF">2022-05-03T04:16:00Z</dcterms:created>
  <dcterms:modified xsi:type="dcterms:W3CDTF">2022-05-03T04:39:00Z</dcterms:modified>
</cp:coreProperties>
</file>