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81a1d8830703e7fabc2deca142372d385a8556"/>
    <w:p>
      <w:pPr>
        <w:pStyle w:val="Heading5"/>
      </w:pPr>
      <w:r>
        <w:t xml:space="preserve">Table 1. Summary statistics of categorical model variables (n = 66,613,710)</w:t>
      </w:r>
    </w:p>
    <w:tbl>
      <w:tblPr>
        <w:tblStyle w:val="Table"/>
        <w:tblW w:type="pct" w:w="3819"/>
        <w:tblLook w:firstRow="1" w:lastRow="0" w:firstColumn="0" w:lastColumn="0" w:noHBand="0" w:noVBand="0" w:val="0020"/>
      </w:tblPr>
      <w:tblGrid>
        <w:gridCol w:w="3630"/>
        <w:gridCol w:w="121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During the past 7 days, how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often did you feel so nervous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that nothing could calm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down? (D1)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45318361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None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26878522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 little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9548836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Some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6122466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Most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1972948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All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795589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your age? (E4)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54918689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18-24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6749688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25-34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12502223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35-44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11752776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45-54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10183333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55-64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8084732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65-74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4484351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75+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the highest level of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education that you have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completed? (E8)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23515043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 formal 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Less than primary school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214264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Primary school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908531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Secondary school complete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2987295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High school (or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equivalent)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6265713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College/pre-university/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9797885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University post-graduate degree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3248528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your gender? (E3)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54700532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27220165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26893157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135765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Prefer not to answer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451445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 the past 4 weeks, did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do any work for pay? By work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for pay, we mean any kind of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business, farming, or other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activity to earn money, even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if only for one hour. (D7a)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21663654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13061530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8602124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39.71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2023-01-02T14:11:16Z</dcterms:created>
  <dcterms:modified xsi:type="dcterms:W3CDTF">2023-01-02T14:11:16Z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