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rtl w:val="0"/>
        </w:rPr>
        <w:t xml:space="preserve">Scope of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rtl w:val="0"/>
        </w:rPr>
        <w:t xml:space="preserve">Policy &amp;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rtl w:val="0"/>
        </w:rPr>
        <w:t xml:space="preserve">Last Reviewed: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rtl w:val="0"/>
        </w:rPr>
        <w:t xml:space="preserve">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rtl w:val="0"/>
        </w:rPr>
        <w:t xml:space="preserve">Additional Authority: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CARF: Program/Service Structure 2.A.1.a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Connecticut Substance Use Disorder Services Policy and Clinical Assumptions Grid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40" w:lineRule="auto"/>
        <w:ind w:left="2160" w:hanging="21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rtl w:val="0"/>
        </w:rPr>
        <w:t xml:space="preserve">POLICY: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Mulligan Recovery Centers of Connecticut (MRC) provides residential addiction recovery support services for males recovering from substance use disorder.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MRC serves adults over the age of 18 who suffer from substance abuse disorders and/or dual diagnosis disorders serving both males and females.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MRC provides Intensive Outpatient, Outpatient and Community Housing services.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 hours are from 8:30pm – 5:00pm Monday - Friday and Community Housing hours are 24 hours a day, 7 days a week;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MRC accepts admissions 16 hours per day, 7 days per week.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IOP services are offered 3-5 days a week, 3 hours per day and one hour per week of individual sessions. Community Housing is 24 hour 7 days a week service offering a safe and sober living environment to individuals seeking a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MRC offers at least five (5) hours per week of a combination of low- intensity clinical and recovery-focused services. MRC provides at least five (5) hours a week of individual, group, family therapy, medication management, and psychoeducation. Two (2) of these hours are provided by staff whose minimum credentials are a master's prepared behavioral health practitioner with a minimum of an associate license (LMSW, LPCA, MFTA), at least one (1) hour of which includes individual/family therapy.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MRC accepts private health insurance and clients who self-pay.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MRC shares scope of practices with persons served, families/support systems, referral sources, funding sources, stakeholders and the general public.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s42haloe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 of services will be reviewed annually and updated as needed.</w:t>
      </w:r>
    </w:p>
    <w:p w:rsidR="00000000" w:rsidDel="00000000" w:rsidP="00000000" w:rsidRDefault="00000000" w:rsidRPr="00000000" w14:paraId="00000013">
      <w:pPr>
        <w:spacing w:after="160" w:before="0" w:line="259" w:lineRule="auto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Description of Services</w:t>
      </w:r>
    </w:p>
    <w:p w:rsidR="00000000" w:rsidDel="00000000" w:rsidP="00000000" w:rsidRDefault="00000000" w:rsidRPr="00000000" w14:paraId="00000014">
      <w:pPr>
        <w:spacing w:after="160" w:before="0" w:line="25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MRC provides community living components including: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meetings with staff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 meetings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Therapeutic groups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 therapy</w:t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MRC provides access to external services and community groups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Community/cultural activities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Social/recreational activities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Employment/income generation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Transportation assistance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step groups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Self-help groups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integration services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activities identified within the client’s treatment plan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OP.MRC.CT</w:t>
          </w:r>
        </w:p>
      </w:tc>
      <w:tc>
        <w:tcPr/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7CA93846"/>
    <w:rPr>
      <w:color w:val="0563c1"/>
      <w:u w:val="single"/>
    </w:rPr>
  </w:style>
  <w:style w:type="paragraph" w:styleId="Header">
    <w:name w:val="header"/>
    <w:basedOn w:val="Normal"/>
    <w:uiPriority w:val="99"/>
    <w:unhideWhenUsed w:val="1"/>
    <w:rsid w:val="7CA9384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 w:val="1"/>
    <w:rsid w:val="7CA9384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ortal.ct.gov/-/media/departments-and-agencies/dss/health-and-home-care/sud-demo-ct-residential-clinical-assumptions-grid_123021-final.pdf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L1hl7M5xYNviTuAlhJbojBrAg==">CgMxLjAyDGguYnM0MmhhbG9ldTgAciExS2VVWXp2VHNvT0V1OUtjZXRNcDdGY3d4YjJ1WS03Z3U=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2023-08-01T00:57:57.5982241Z</dcterms:created>
  <dc:creator>Rachael Dols</dc:creator>
</cp:coreProperties>
</file>