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7700FF"/>
          <w:sz w:val="36"/>
        </w:rPr>
        <w:t>Ростелеком</w:t>
      </w:r>
    </w:p>
    <w:p>
      <w:pPr>
        <w:jc w:val="center"/>
      </w:pPr>
      <w:r>
        <w:rPr>
          <w:b/>
          <w:color w:val="101828"/>
          <w:sz w:val="28"/>
        </w:rPr>
        <w:t>Коммерческое предложение №2026-10-24</w:t>
      </w:r>
    </w:p>
    <w:p>
      <w:pPr>
        <w:jc w:val="right"/>
      </w:pPr>
      <w:r>
        <w:rPr>
          <w:sz w:val="20"/>
        </w:rPr>
        <w:t>Дата: 24.10.2026</w:t>
      </w:r>
      <w:r>
        <w:rPr>
          <w:sz w:val="8"/>
        </w:rPr>
        <w:br/>
      </w:r>
    </w:p>
    <w:p/>
    <w:p>
      <w:r>
        <w:rPr>
          <w:b/>
          <w:color w:val="7700FF"/>
        </w:rPr>
        <w:t>Позиции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7700FF" w:val="clear"/>
          </w:tcPr>
          <w:p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1440"/>
            <w:shd w:fill="7700FF" w:val="clear"/>
          </w:tcPr>
          <w:p>
            <w:r>
              <w:rPr>
                <w:b/>
                <w:color w:val="FFFFFF"/>
                <w:sz w:val="18"/>
              </w:rPr>
              <w:t>Наименование</w:t>
            </w:r>
          </w:p>
        </w:tc>
        <w:tc>
          <w:tcPr>
            <w:tcW w:type="dxa" w:w="1440"/>
            <w:shd w:fill="7700FF" w:val="clear"/>
          </w:tcPr>
          <w:p>
            <w:r>
              <w:rPr>
                <w:b/>
                <w:color w:val="FFFFFF"/>
                <w:sz w:val="18"/>
              </w:rPr>
              <w:t>Ед.изм.</w:t>
            </w:r>
          </w:p>
        </w:tc>
        <w:tc>
          <w:tcPr>
            <w:tcW w:type="dxa" w:w="1440"/>
            <w:shd w:fill="7700FF" w:val="clear"/>
          </w:tcPr>
          <w:p>
            <w:r>
              <w:rPr>
                <w:b/>
                <w:color w:val="FFFFFF"/>
                <w:sz w:val="18"/>
              </w:rPr>
              <w:t>Кол-во</w:t>
            </w:r>
          </w:p>
        </w:tc>
        <w:tc>
          <w:tcPr>
            <w:tcW w:type="dxa" w:w="1440"/>
            <w:shd w:fill="7700FF" w:val="clear"/>
          </w:tcPr>
          <w:p>
            <w:r>
              <w:rPr>
                <w:b/>
                <w:color w:val="FFFFFF"/>
                <w:sz w:val="18"/>
              </w:rPr>
              <w:t>Цена за ед.</w:t>
            </w:r>
          </w:p>
        </w:tc>
        <w:tc>
          <w:tcPr>
            <w:tcW w:type="dxa" w:w="1440"/>
            <w:shd w:fill="7700FF" w:val="clear"/>
          </w:tcPr>
          <w:p>
            <w:r>
              <w:rPr>
                <w:b/>
                <w:color w:val="FFFFFF"/>
                <w:sz w:val="18"/>
              </w:rPr>
              <w:t>Сумма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Смарт-счетчик (3-фазный)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шт.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8X500.00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102X000.00</w:t>
            </w:r>
          </w:p>
        </w:tc>
      </w:tr>
    </w:tbl>
    <w:p/>
    <w:p>
      <w:r>
        <w:rPr>
          <w:b/>
          <w:color w:val="7700FF"/>
        </w:rPr>
        <w:t>Этапы работ и стоимость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Шаг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Сумма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Прямые затраты (себестоимость)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112X200.00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Регион: Центральный (Москва, МО)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Уровень: Базовый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Срочность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Уникальное решение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Финансирование (prepay, 12 мес)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5X610.00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Скидка за объём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0.00</w:t>
            </w:r>
          </w:p>
        </w:tc>
      </w:tr>
    </w:tbl>
    <w:p/>
    <w:p>
      <w:r>
        <w:rPr>
          <w:b/>
          <w:color w:val="7700FF"/>
        </w:rPr>
        <w:t>Условия расчёта</w:t>
      </w:r>
    </w:p>
    <w:p>
      <w:r>
        <w:t>Регион: —</w:t>
      </w:r>
    </w:p>
    <w:p>
      <w:r>
        <w:t>Уровень: —</w:t>
      </w:r>
    </w:p>
    <w:p>
      <w:r>
        <w:t>Срочность: Нет</w:t>
      </w:r>
    </w:p>
    <w:p>
      <w:r>
        <w:t>Уникальное решение: Нет</w:t>
      </w:r>
    </w:p>
    <w:p>
      <w:r>
        <w:t>Финансирование: prepay, срок: 12 мес</w:t>
      </w:r>
    </w:p>
    <w:p/>
    <w:p>
      <w:r>
        <w:rPr>
          <w:b/>
          <w:color w:val="7700FF"/>
          <w:sz w:val="28"/>
        </w:rPr>
        <w:t>Итого</w:t>
      </w:r>
    </w:p>
    <w:p>
      <w:r>
        <w:t>Минимум: 106X029.00 руб.</w:t>
      </w:r>
    </w:p>
    <w:p>
      <w:r>
        <w:t>Оптимум: 117X810.00 руб.</w:t>
      </w:r>
    </w:p>
    <w:p>
      <w:r>
        <w:t>Максимум: 135X481.50 руб.</w:t>
      </w:r>
    </w:p>
    <w:p>
      <w:r>
        <w:t>Маржа: мин -5.8%, опт 4.8%, макс 17.2%</w:t>
      </w:r>
    </w:p>
    <w:p/>
    <w:p>
      <w:r>
        <w:rPr>
          <w:i/>
          <w:color w:val="9AA4B2"/>
          <w:sz w:val="18"/>
        </w:rPr>
        <w:t>Расчёт предварительный. Для точного расчёта обратитесь к менеджеру.</w:t>
      </w:r>
    </w:p>
    <w:p>
      <w:r>
        <w:rPr>
          <w:b/>
          <w:sz w:val="18"/>
        </w:rPr>
        <w:t>Допущения:</w:t>
      </w:r>
    </w:p>
    <w:p>
      <w:pPr>
        <w:pStyle w:val="ListBullet"/>
      </w:pPr>
      <w:r>
        <w:t>Минимальная цена рассчитана как optimal × 0.9 (аналогов недостаточно)</w:t>
      </w:r>
    </w:p>
    <w:p>
      <w:pPr>
        <w:pStyle w:val="ListBullet"/>
      </w:pPr>
      <w:r>
        <w:t>Аналоги недоступны — расчёт минимума по запасному правилу</w:t>
      </w:r>
    </w:p>
    <w:p>
      <w:pPr>
        <w:pStyle w:val="ListBullet"/>
      </w:pPr>
      <w:r>
        <w:t>Максимальная цена: optimal × 1.15 (допущение)</w:t>
      </w:r>
    </w:p>
    <w:p>
      <w:pPr>
        <w:pStyle w:val="ListBullet"/>
      </w:pPr>
      <w:r>
        <w:t>Наценка за нестандарт: 20.0%</w:t>
      </w:r>
    </w:p>
    <w:p>
      <w:pPr>
        <w:pStyle w:val="ListBullet"/>
      </w:pPr>
      <w:r>
        <w:t>Наценка за уникальное решение: 15.0%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