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E6750F" w:rsidRDefault="00966793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On précise uniquement les points qui vous ont semblé flous ou bien incomplets. Rien de plus à signaler dans cette étude.</w:t>
      </w:r>
    </w:p>
    <w:p w14:paraId="2E1BEA50" w14:textId="62C8B3D3" w:rsidR="00966793" w:rsidRPr="0022004D" w:rsidRDefault="00966793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8"/>
          <w:szCs w:val="28"/>
          <w:lang w:val="fr-FR"/>
        </w:rPr>
      </w:pP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0E473ED0" w:rsidR="001831C9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023403CB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7678DCA" w14:textId="491F670E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pict w14:anchorId="6E07B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404.25pt">
            <v:imagedata r:id="rId11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77777777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après compilation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2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</w:t>
      </w:r>
      <w:r>
        <w:rPr>
          <w:lang w:val="fr-FR"/>
        </w:rPr>
        <w:t>3</w:t>
      </w:r>
      <w:r>
        <w:rPr>
          <w:lang w:val="fr-FR"/>
        </w:rPr>
        <w:t xml:space="preserve"> T</w:t>
      </w:r>
      <w:r>
        <w:rPr>
          <w:lang w:val="fr-FR"/>
        </w:rPr>
        <w:t>emps Passé</w:t>
      </w:r>
    </w:p>
    <w:p w14:paraId="4655EC6F" w14:textId="4D85C112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49F250C" w14:textId="02B7AA8A" w:rsidR="006C3E90" w:rsidRPr="00A6389F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lastRenderedPageBreak/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 xml:space="preserve">.3 Temps passé </w:t>
      </w:r>
    </w:p>
    <w:p w14:paraId="3185762B" w14:textId="6BD7D0A6" w:rsidR="000D1E87" w:rsidRDefault="001B38B9" w:rsidP="001B38B9">
      <w:pPr>
        <w:pStyle w:val="Titre3"/>
        <w:numPr>
          <w:ilvl w:val="0"/>
          <w:numId w:val="0"/>
        </w:numPr>
        <w:rPr>
          <w:b w:val="0"/>
          <w:bCs w:val="0"/>
          <w:sz w:val="28"/>
          <w:szCs w:val="28"/>
          <w:lang w:val="fr-FR"/>
        </w:rPr>
      </w:pPr>
      <w:r>
        <w:rPr>
          <w:lang w:val="fr-FR"/>
        </w:rPr>
        <w:tab/>
      </w:r>
      <w:r>
        <w:rPr>
          <w:b w:val="0"/>
          <w:i w:val="0"/>
          <w:lang w:val="fr-FR"/>
        </w:rPr>
        <w:t xml:space="preserve">Pour la v1, du fait que nous avancions en parallèle de la v0 nous avons passé aux alentours de deux semaines (en temps écoulé) celui-ci représente environ 3h/4h de </w:t>
      </w:r>
      <w:bookmarkStart w:id="3" w:name="_GoBack"/>
      <w:bookmarkEnd w:id="3"/>
      <w:r w:rsidR="000D1E87">
        <w:rPr>
          <w:sz w:val="28"/>
          <w:szCs w:val="28"/>
          <w:lang w:val="fr-FR"/>
        </w:rPr>
        <w:br w:type="page"/>
      </w:r>
    </w:p>
    <w:p w14:paraId="7CECC2F0" w14:textId="003DF7A4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6416235A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1D4452BD" w14:textId="610E804C" w:rsidR="00D1546B" w:rsidRPr="00A6031C" w:rsidRDefault="000D1E87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</w:t>
      </w:r>
      <w:r w:rsidR="005D5404">
        <w:rPr>
          <w:sz w:val="28"/>
          <w:szCs w:val="28"/>
          <w:lang w:val="fr-FR"/>
        </w:rPr>
        <w:t>p</w:t>
      </w:r>
      <w:r>
        <w:rPr>
          <w:sz w:val="28"/>
          <w:szCs w:val="28"/>
          <w:lang w:val="fr-FR"/>
        </w:rPr>
        <w:t>plication</w:t>
      </w: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77777777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7777777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lastRenderedPageBreak/>
        <w:br w:type="page"/>
      </w: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0470CE02" w14:textId="77777777" w:rsidR="00A67FE5" w:rsidRPr="000037C6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A67FE5" w:rsidRPr="000037C6" w:rsidSect="00CC0FF7">
      <w:footerReference w:type="default" r:id="rId13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2989C66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0530D">
      <w:rPr>
        <w:rFonts w:ascii="Times New Roman" w:hAnsi="Times New Roman" w:cs="Times New Roman"/>
        <w:noProof/>
        <w:sz w:val="16"/>
        <w:lang w:val="fr-FR"/>
      </w:rPr>
      <w:t>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0530D">
      <w:rPr>
        <w:rFonts w:ascii="Times New Roman" w:hAnsi="Times New Roman" w:cs="Times New Roman"/>
        <w:noProof/>
        <w:sz w:val="16"/>
        <w:lang w:val="fr-FR"/>
      </w:rPr>
      <w:t>11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A15CD"/>
    <w:rsid w:val="00AA213B"/>
    <w:rsid w:val="00AA7747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C1ECB-57A8-485C-B9E3-8C2173D9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1605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45</cp:revision>
  <cp:lastPrinted>2021-04-25T16:28:00Z</cp:lastPrinted>
  <dcterms:created xsi:type="dcterms:W3CDTF">2023-04-25T04:02:00Z</dcterms:created>
  <dcterms:modified xsi:type="dcterms:W3CDTF">2023-05-03T14:50:00Z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