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ind w:left="10632" w:right="388"/>
        <w:jc w:val="center"/>
        <w:outlineLvl w:val="2"/>
        <w:rPr>
          <w:sz w:val="20"/>
        </w:rPr>
      </w:pPr>
    </w:p>
    <w:p>
      <w:pPr>
        <w:pStyle w:val="32"/>
        <w:tabs>
          <w:tab w:val="center" w:pos="12545"/>
          <w:tab w:val="left" w:pos="13498"/>
        </w:tabs>
        <w:ind w:left="11340" w:right="-33"/>
        <w:outlineLvl w:val="2"/>
        <w:rPr>
          <w:sz w:val="16"/>
          <w:szCs w:val="16"/>
        </w:rPr>
      </w:pPr>
      <w:r>
        <w:rPr>
          <w:sz w:val="16"/>
          <w:szCs w:val="16"/>
        </w:rPr>
        <w:t>Додаток 10</w:t>
      </w:r>
    </w:p>
    <w:p>
      <w:pPr>
        <w:ind w:left="11340" w:right="-9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до Порядку складання фінансової, бюджетної та іншої звітності розпорядниками та одержувачами бюджетних коштів </w:t>
      </w:r>
    </w:p>
    <w:p>
      <w:pPr>
        <w:ind w:left="11340" w:right="-96"/>
        <w:jc w:val="both"/>
        <w:rPr>
          <w:sz w:val="16"/>
          <w:szCs w:val="16"/>
        </w:rPr>
      </w:pPr>
      <w:r>
        <w:rPr>
          <w:sz w:val="16"/>
          <w:szCs w:val="16"/>
        </w:rPr>
        <w:t>(пункт 2.1)</w:t>
      </w:r>
    </w:p>
    <w:p>
      <w:pPr>
        <w:ind w:left="11340" w:right="-96"/>
        <w:jc w:val="both"/>
        <w:rPr>
          <w:sz w:val="16"/>
          <w:szCs w:val="16"/>
        </w:rPr>
      </w:pPr>
    </w:p>
    <w:p>
      <w:pPr>
        <w:ind w:left="11340" w:right="-96"/>
        <w:jc w:val="both"/>
        <w:rPr>
          <w:sz w:val="16"/>
          <w:szCs w:val="16"/>
        </w:rPr>
      </w:pPr>
    </w:p>
    <w:p>
      <w:pPr>
        <w:ind w:right="-1066" w:firstLine="120"/>
        <w:jc w:val="center"/>
        <w:rPr>
          <w:b/>
          <w:color w:val="000000"/>
          <w:sz w:val="22"/>
          <w:szCs w:val="22"/>
        </w:rPr>
      </w:pPr>
    </w:p>
    <w:p>
      <w:pPr>
        <w:ind w:right="-1066" w:firstLine="12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Звіт</w:t>
      </w:r>
    </w:p>
    <w:tbl>
      <w:tblPr>
        <w:tblStyle w:val="24"/>
        <w:tblW w:w="15027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783"/>
        <w:gridCol w:w="2573"/>
        <w:gridCol w:w="3242"/>
        <w:gridCol w:w="196"/>
        <w:gridCol w:w="392"/>
        <w:gridCol w:w="3514"/>
        <w:gridCol w:w="1693"/>
        <w:gridCol w:w="567"/>
        <w:gridCol w:w="142"/>
        <w:gridCol w:w="8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027" w:type="dxa"/>
            <w:gridSpan w:val="11"/>
            <w:vAlign w:val="top"/>
          </w:tcPr>
          <w:p>
            <w:pPr>
              <w:ind w:right="-118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про заборгованість за бюджетними коштами (форма № 7д, № 7м)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4034" w:type="dxa"/>
            <w:gridSpan w:val="9"/>
            <w:vAlign w:val="top"/>
          </w:tcPr>
          <w:p>
            <w:pPr>
              <w:ind w:right="-1185"/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sz w:val="20"/>
              </w:rPr>
              <w:t xml:space="preserve">      </w:t>
            </w:r>
            <w:r>
              <w:rPr>
                <w:b/>
                <w:sz w:val="22"/>
                <w:szCs w:val="22"/>
              </w:rPr>
              <w:t>на</w:t>
            </w:r>
            <w:r>
              <w:rPr>
                <w:sz w:val="22"/>
                <w:szCs w:val="22"/>
              </w:rPr>
              <w:t>______________</w:t>
            </w:r>
            <w:r>
              <w:rPr>
                <w:b/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>__</w:t>
            </w:r>
            <w:r>
              <w:rPr>
                <w:b/>
                <w:bCs/>
                <w:sz w:val="22"/>
                <w:szCs w:val="22"/>
              </w:rPr>
              <w:t xml:space="preserve"> р</w:t>
            </w:r>
            <w:r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  <w:tc>
          <w:tcPr>
            <w:tcW w:w="993" w:type="dxa"/>
            <w:gridSpan w:val="2"/>
            <w:vAlign w:val="top"/>
          </w:tcPr>
          <w:p>
            <w:pPr>
              <w:ind w:left="-108" w:right="-289"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074" w:type="dxa"/>
            <w:tcBorders>
              <w:right w:val="nil"/>
            </w:tcBorders>
            <w:vAlign w:val="top"/>
          </w:tcPr>
          <w:p>
            <w:pPr>
              <w:ind w:right="-1185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Установа </w:t>
            </w:r>
            <w:r>
              <w:rPr>
                <w:sz w:val="20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70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  <w:lang w:val="en-US"/>
              </w:rPr>
            </w:pPr>
            <w:bookmarkStart w:id="0" w:name="OName"/>
            <w:r>
              <w:rPr>
                <w:b w:val="0"/>
                <w:bCs w:val="0"/>
                <w:sz w:val="20"/>
                <w:lang w:val="en-US"/>
              </w:rPr>
              <w:t>OName</w:t>
            </w:r>
            <w:bookmarkEnd w:id="0"/>
          </w:p>
        </w:tc>
        <w:tc>
          <w:tcPr>
            <w:tcW w:w="1693" w:type="dxa"/>
            <w:tcBorders>
              <w:left w:val="nil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</w:rPr>
            </w:pPr>
            <w:r>
              <w:rPr>
                <w:sz w:val="20"/>
              </w:rPr>
              <w:t>за ЄДРПОУ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sz w:val="20"/>
                <w:lang w:val="en-US"/>
              </w:rPr>
            </w:pPr>
            <w:bookmarkStart w:id="1" w:name="EDRPOU"/>
            <w:r>
              <w:rPr>
                <w:sz w:val="20"/>
                <w:lang w:val="en-US"/>
              </w:rPr>
              <w:t>EDRPOU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tcBorders>
              <w:right w:val="nil"/>
            </w:tcBorders>
            <w:vAlign w:val="top"/>
          </w:tcPr>
          <w:p>
            <w:pPr>
              <w:ind w:right="-1185"/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Територія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070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  <w:lang w:val="en-US"/>
              </w:rPr>
            </w:pPr>
            <w:bookmarkStart w:id="2" w:name="Territory"/>
            <w:r>
              <w:rPr>
                <w:b w:val="0"/>
                <w:bCs w:val="0"/>
                <w:sz w:val="20"/>
                <w:lang w:val="en-US"/>
              </w:rPr>
              <w:t>Territory</w:t>
            </w:r>
            <w:bookmarkEnd w:id="2"/>
          </w:p>
        </w:tc>
        <w:tc>
          <w:tcPr>
            <w:tcW w:w="1693" w:type="dxa"/>
            <w:tcBorders>
              <w:left w:val="nil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</w:rPr>
            </w:pPr>
            <w:r>
              <w:rPr>
                <w:sz w:val="20"/>
              </w:rPr>
              <w:t>за КОАТУУ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sz w:val="20"/>
                <w:lang w:val="en-US"/>
              </w:rPr>
            </w:pPr>
            <w:bookmarkStart w:id="3" w:name="KOTAUU"/>
            <w:r>
              <w:rPr>
                <w:sz w:val="20"/>
                <w:lang w:val="en-US"/>
              </w:rPr>
              <w:t>KOTAUU</w:t>
            </w:r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0" w:type="dxa"/>
            <w:gridSpan w:val="3"/>
            <w:tcBorders>
              <w:right w:val="nil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Організаційно-правова форма господарювання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34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  <w:lang w:val="en-US"/>
              </w:rPr>
            </w:pPr>
            <w:bookmarkStart w:id="4" w:name="OPFG"/>
            <w:bookmarkStart w:id="5" w:name="KOPFG"/>
            <w:r>
              <w:rPr>
                <w:b w:val="0"/>
                <w:bCs w:val="0"/>
                <w:sz w:val="20"/>
                <w:lang w:val="en-US"/>
              </w:rPr>
              <w:t>OPFG</w:t>
            </w:r>
            <w:bookmarkEnd w:id="4"/>
          </w:p>
        </w:tc>
        <w:tc>
          <w:tcPr>
            <w:tcW w:w="1693" w:type="dxa"/>
            <w:tcBorders>
              <w:left w:val="nil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sz w:val="20"/>
              </w:rPr>
            </w:pPr>
            <w:r>
              <w:rPr>
                <w:bCs/>
                <w:sz w:val="20"/>
              </w:rPr>
              <w:t>за КОПФГ</w:t>
            </w:r>
          </w:p>
        </w:tc>
        <w:tc>
          <w:tcPr>
            <w:tcW w:w="15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KOPFG</w:t>
            </w:r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72" w:type="dxa"/>
            <w:gridSpan w:val="4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Код та назва відомчої класифікації видатків та кредитування державного бюджету</w:t>
            </w:r>
          </w:p>
        </w:tc>
        <w:tc>
          <w:tcPr>
            <w:tcW w:w="4102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ind w:right="-1185"/>
              <w:jc w:val="both"/>
              <w:rPr>
                <w:b/>
                <w:bCs/>
                <w:color w:val="000000"/>
                <w:sz w:val="20"/>
                <w:lang w:val="en-US"/>
              </w:rPr>
            </w:pPr>
            <w:bookmarkStart w:id="6" w:name="VKVKDB"/>
            <w:bookmarkStart w:id="9" w:name="_GoBack"/>
            <w:r>
              <w:rPr>
                <w:b w:val="0"/>
                <w:bCs w:val="0"/>
                <w:color w:val="000000"/>
                <w:sz w:val="20"/>
                <w:lang w:val="en-US"/>
              </w:rPr>
              <w:t>VKVKDB</w:t>
            </w:r>
            <w:bookmarkEnd w:id="6"/>
            <w:bookmarkEnd w:id="9"/>
          </w:p>
        </w:tc>
        <w:tc>
          <w:tcPr>
            <w:tcW w:w="2402" w:type="dxa"/>
            <w:gridSpan w:val="3"/>
            <w:vAlign w:val="top"/>
          </w:tcPr>
          <w:p>
            <w:pPr>
              <w:ind w:right="-1185"/>
              <w:jc w:val="both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7" w:hRule="atLeast"/>
        </w:trPr>
        <w:tc>
          <w:tcPr>
            <w:tcW w:w="7868" w:type="dxa"/>
            <w:gridSpan w:val="5"/>
            <w:vAlign w:val="top"/>
          </w:tcPr>
          <w:p>
            <w:pPr>
              <w:ind w:right="-1185"/>
              <w:rPr>
                <w:b/>
                <w:bCs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Код та назва програмної класифікації видатків та кредитування державного бюджет</w:t>
            </w:r>
          </w:p>
        </w:tc>
        <w:tc>
          <w:tcPr>
            <w:tcW w:w="6308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ind w:right="-1185"/>
              <w:rPr>
                <w:b w:val="0"/>
                <w:bCs/>
                <w:color w:val="000000"/>
                <w:sz w:val="20"/>
                <w:lang w:val="en-US"/>
              </w:rPr>
            </w:pPr>
            <w:r>
              <w:rPr>
                <w:b w:val="0"/>
                <w:bCs/>
                <w:color w:val="000000"/>
                <w:sz w:val="20"/>
                <w:lang w:val="en-US"/>
              </w:rPr>
              <w:t>CPKVKDB</w:t>
            </w:r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" w:hRule="atLeast"/>
        </w:trPr>
        <w:tc>
          <w:tcPr>
            <w:tcW w:w="8260" w:type="dxa"/>
            <w:gridSpan w:val="6"/>
            <w:vAlign w:val="top"/>
          </w:tcPr>
          <w:p>
            <w:pPr>
              <w:ind w:right="-1185"/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Код та назва </w:t>
            </w:r>
            <w:r>
              <w:rPr>
                <w:b/>
                <w:bCs/>
                <w:color w:val="000000"/>
                <w:sz w:val="20"/>
                <w:szCs w:val="20"/>
              </w:rPr>
              <w:t>типової</w:t>
            </w:r>
            <w:r>
              <w:rPr>
                <w:b/>
                <w:bCs/>
                <w:color w:val="000000"/>
                <w:sz w:val="20"/>
              </w:rPr>
              <w:t xml:space="preserve"> відомчої класифікації видатків та кредитування місцевих бюджетів</w:t>
            </w:r>
          </w:p>
        </w:tc>
        <w:tc>
          <w:tcPr>
            <w:tcW w:w="5916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ind w:right="-1185"/>
              <w:rPr>
                <w:b/>
                <w:bCs/>
                <w:color w:val="000000"/>
                <w:sz w:val="20"/>
                <w:lang w:val="en-US"/>
              </w:rPr>
            </w:pPr>
            <w:bookmarkStart w:id="7" w:name="CVKVKMB"/>
            <w:r>
              <w:rPr>
                <w:b w:val="0"/>
                <w:bCs w:val="0"/>
                <w:color w:val="000000"/>
                <w:sz w:val="20"/>
                <w:lang w:val="en-US"/>
              </w:rPr>
              <w:t>CVKVKMB</w:t>
            </w:r>
            <w:bookmarkEnd w:id="7"/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" w:hRule="atLeast"/>
        </w:trPr>
        <w:tc>
          <w:tcPr>
            <w:tcW w:w="14176" w:type="dxa"/>
            <w:gridSpan w:val="10"/>
            <w:vAlign w:val="top"/>
          </w:tcPr>
          <w:p>
            <w:pPr>
              <w:ind w:right="-1185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</w:rPr>
              <w:t>Код та назва програмної класифікації видатків та кредитування місцевих бюджетів (</w:t>
            </w:r>
            <w:r>
              <w:rPr>
                <w:b/>
                <w:bCs/>
                <w:sz w:val="20"/>
                <w:szCs w:val="20"/>
              </w:rPr>
              <w:t>код та назва Типової програмної класифікації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видатків та кредиту</w:t>
            </w:r>
            <w:r>
              <w:rPr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0" w:hRule="atLeast"/>
        </w:trPr>
        <w:tc>
          <w:tcPr>
            <w:tcW w:w="14176" w:type="dxa"/>
            <w:gridSpan w:val="10"/>
            <w:vAlign w:val="top"/>
          </w:tcPr>
          <w:p>
            <w:pPr>
              <w:ind w:right="-1185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вання місцевих бюджетів / Тимчасової класифікації видатків та кредитування для бюджетів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місцевого самоврядування, які не застосовують програмно-</w:t>
            </w:r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9" w:hRule="atLeast"/>
        </w:trPr>
        <w:tc>
          <w:tcPr>
            <w:tcW w:w="1857" w:type="dxa"/>
            <w:gridSpan w:val="2"/>
            <w:vAlign w:val="top"/>
          </w:tcPr>
          <w:p>
            <w:pPr>
              <w:ind w:right="-1185"/>
              <w:rPr>
                <w:sz w:val="20"/>
              </w:rPr>
            </w:pPr>
            <w:r>
              <w:rPr>
                <w:b/>
                <w:bCs/>
                <w:sz w:val="20"/>
                <w:szCs w:val="20"/>
              </w:rPr>
              <w:t>цільового методу)*</w:t>
            </w:r>
          </w:p>
        </w:tc>
        <w:tc>
          <w:tcPr>
            <w:tcW w:w="12319" w:type="dxa"/>
            <w:gridSpan w:val="8"/>
            <w:tcBorders>
              <w:bottom w:val="single" w:color="auto" w:sz="4" w:space="0"/>
            </w:tcBorders>
            <w:vAlign w:val="top"/>
          </w:tcPr>
          <w:p>
            <w:pPr>
              <w:ind w:right="-1185"/>
              <w:rPr>
                <w:b/>
                <w:bCs/>
                <w:sz w:val="20"/>
                <w:szCs w:val="20"/>
                <w:lang w:val="en-US"/>
              </w:rPr>
            </w:pPr>
            <w:bookmarkStart w:id="8" w:name="CPKVKMB"/>
            <w:r>
              <w:rPr>
                <w:b w:val="0"/>
                <w:bCs/>
                <w:color w:val="000000"/>
                <w:sz w:val="20"/>
                <w:lang w:val="en-US"/>
              </w:rPr>
              <w:t>CPKVKMB</w:t>
            </w:r>
            <w:bookmarkEnd w:id="8"/>
          </w:p>
        </w:tc>
        <w:tc>
          <w:tcPr>
            <w:tcW w:w="851" w:type="dxa"/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4176" w:type="dxa"/>
            <w:gridSpan w:val="10"/>
            <w:vAlign w:val="top"/>
          </w:tcPr>
          <w:p>
            <w:pPr>
              <w:ind w:right="-1185"/>
              <w:jc w:val="both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Періодичність: місячна, квартальна, річна.</w:t>
            </w:r>
          </w:p>
          <w:p>
            <w:pPr>
              <w:ind w:right="-1185"/>
              <w:jc w:val="both"/>
              <w:rPr>
                <w:b/>
                <w:color w:val="000000"/>
                <w:sz w:val="20"/>
              </w:rPr>
            </w:pPr>
            <w:r>
              <w:rPr>
                <w:color w:val="000000"/>
                <w:sz w:val="16"/>
              </w:rPr>
              <w:t>Одиниця виміру: грн коп.</w:t>
            </w:r>
          </w:p>
        </w:tc>
        <w:tc>
          <w:tcPr>
            <w:tcW w:w="851" w:type="dxa"/>
            <w:tcBorders>
              <w:left w:val="nil"/>
            </w:tcBorders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</w:trPr>
        <w:tc>
          <w:tcPr>
            <w:tcW w:w="14176" w:type="dxa"/>
            <w:gridSpan w:val="10"/>
            <w:vAlign w:val="top"/>
          </w:tcPr>
          <w:p>
            <w:pPr>
              <w:ind w:right="-1185"/>
              <w:jc w:val="both"/>
              <w:rPr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Форма складена:     за загальним, спеціальним фондом</w:t>
            </w:r>
            <w:r>
              <w:rPr>
                <w:color w:val="000000"/>
                <w:sz w:val="16"/>
              </w:rPr>
              <w:t xml:space="preserve"> (необхідне підкреслити).</w:t>
            </w:r>
          </w:p>
        </w:tc>
        <w:tc>
          <w:tcPr>
            <w:tcW w:w="851" w:type="dxa"/>
            <w:tcBorders>
              <w:left w:val="nil"/>
              <w:bottom w:val="nil"/>
            </w:tcBorders>
            <w:vAlign w:val="top"/>
          </w:tcPr>
          <w:p>
            <w:pPr>
              <w:ind w:right="-1185"/>
              <w:jc w:val="both"/>
              <w:rPr>
                <w:color w:val="000000"/>
                <w:sz w:val="20"/>
              </w:rPr>
            </w:pPr>
          </w:p>
        </w:tc>
      </w:tr>
    </w:tbl>
    <w:p>
      <w:pPr>
        <w:ind w:left="-993"/>
        <w:rPr>
          <w:b/>
          <w:color w:val="000000"/>
          <w:sz w:val="4"/>
        </w:rPr>
      </w:pPr>
    </w:p>
    <w:p>
      <w:pPr>
        <w:ind w:left="-993"/>
        <w:rPr>
          <w:b/>
          <w:color w:val="000000"/>
          <w:sz w:val="4"/>
        </w:rPr>
      </w:pPr>
    </w:p>
    <w:tbl>
      <w:tblPr>
        <w:tblStyle w:val="24"/>
        <w:tblpPr w:leftFromText="180" w:rightFromText="180" w:vertAnchor="text" w:horzAnchor="page" w:tblpX="417" w:tblpY="148"/>
        <w:tblOverlap w:val="never"/>
        <w:tblW w:w="15318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630"/>
        <w:gridCol w:w="623"/>
        <w:gridCol w:w="1157"/>
        <w:gridCol w:w="1119"/>
        <w:gridCol w:w="1154"/>
        <w:gridCol w:w="1142"/>
        <w:gridCol w:w="1143"/>
        <w:gridCol w:w="1132"/>
        <w:gridCol w:w="1152"/>
        <w:gridCol w:w="1142"/>
        <w:gridCol w:w="1131"/>
        <w:gridCol w:w="117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6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Cs/>
                <w:color w:val="000000"/>
                <w:sz w:val="18"/>
              </w:rPr>
              <w:t>Показники</w:t>
            </w:r>
          </w:p>
        </w:tc>
        <w:tc>
          <w:tcPr>
            <w:tcW w:w="630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  <w:szCs w:val="16"/>
              </w:rPr>
              <w:t>КЕКВ</w:t>
            </w:r>
          </w:p>
        </w:tc>
        <w:tc>
          <w:tcPr>
            <w:tcW w:w="623" w:type="dxa"/>
            <w:vMerge w:val="restart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Код</w:t>
            </w:r>
            <w:r>
              <w:rPr>
                <w:bCs/>
                <w:color w:val="000000"/>
                <w:sz w:val="16"/>
                <w:lang w:val="en-US"/>
              </w:rPr>
              <w:t xml:space="preserve"> </w:t>
            </w:r>
            <w:r>
              <w:rPr>
                <w:bCs/>
                <w:color w:val="000000"/>
                <w:sz w:val="16"/>
              </w:rPr>
              <w:t>рядка</w:t>
            </w:r>
          </w:p>
        </w:tc>
        <w:tc>
          <w:tcPr>
            <w:tcW w:w="4572" w:type="dxa"/>
            <w:gridSpan w:val="4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sz w:val="18"/>
              </w:rPr>
              <w:t>Дебіторська заборгованість</w:t>
            </w:r>
          </w:p>
        </w:tc>
        <w:tc>
          <w:tcPr>
            <w:tcW w:w="5700" w:type="dxa"/>
            <w:gridSpan w:val="5"/>
            <w:vAlign w:val="top"/>
          </w:tcPr>
          <w:p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Кредиторська заборгованість</w:t>
            </w:r>
          </w:p>
        </w:tc>
        <w:tc>
          <w:tcPr>
            <w:tcW w:w="1177" w:type="dxa"/>
            <w:vMerge w:val="restart"/>
            <w:vAlign w:val="center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Зареєстровані бюджетні фінансові</w:t>
            </w:r>
          </w:p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зобов’язання на кінець звітного періоду (року)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" w:hRule="atLeast"/>
        </w:trPr>
        <w:tc>
          <w:tcPr>
            <w:tcW w:w="2616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630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623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1157" w:type="dxa"/>
            <w:vMerge w:val="restart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на початок звітного року, усього</w:t>
            </w:r>
          </w:p>
        </w:tc>
        <w:tc>
          <w:tcPr>
            <w:tcW w:w="2273" w:type="dxa"/>
            <w:gridSpan w:val="2"/>
            <w:vAlign w:val="top"/>
          </w:tcPr>
          <w:p>
            <w:pPr>
              <w:jc w:val="center"/>
              <w:rPr>
                <w:bCs/>
                <w:color w:val="000000"/>
                <w:sz w:val="14"/>
                <w:vertAlign w:val="superscript"/>
              </w:rPr>
            </w:pPr>
            <w:r>
              <w:rPr>
                <w:bCs/>
                <w:color w:val="000000"/>
                <w:sz w:val="14"/>
              </w:rPr>
              <w:t>на кінець звітного періоду (року)</w:t>
            </w:r>
          </w:p>
        </w:tc>
        <w:tc>
          <w:tcPr>
            <w:tcW w:w="1142" w:type="dxa"/>
            <w:vMerge w:val="restart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14"/>
                <w:vertAlign w:val="superscript"/>
              </w:rPr>
            </w:pPr>
            <w:r>
              <w:rPr>
                <w:bCs/>
                <w:color w:val="000000"/>
                <w:sz w:val="14"/>
              </w:rPr>
              <w:t>списана за період з початку звітного року</w:t>
            </w:r>
          </w:p>
        </w:tc>
        <w:tc>
          <w:tcPr>
            <w:tcW w:w="1143" w:type="dxa"/>
            <w:vMerge w:val="restart"/>
            <w:vAlign w:val="center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на початок</w:t>
            </w:r>
          </w:p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звітного року, усього</w:t>
            </w:r>
          </w:p>
        </w:tc>
        <w:tc>
          <w:tcPr>
            <w:tcW w:w="3426" w:type="dxa"/>
            <w:gridSpan w:val="3"/>
            <w:vAlign w:val="top"/>
          </w:tcPr>
          <w:p>
            <w:pPr>
              <w:jc w:val="center"/>
              <w:rPr>
                <w:bCs/>
                <w:color w:val="000000"/>
                <w:sz w:val="14"/>
                <w:vertAlign w:val="superscript"/>
              </w:rPr>
            </w:pPr>
            <w:r>
              <w:rPr>
                <w:bCs/>
                <w:color w:val="000000"/>
                <w:sz w:val="14"/>
              </w:rPr>
              <w:t>на кінець звітного періоду (року)</w:t>
            </w:r>
          </w:p>
        </w:tc>
        <w:tc>
          <w:tcPr>
            <w:tcW w:w="1131" w:type="dxa"/>
            <w:vMerge w:val="restart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14"/>
                <w:vertAlign w:val="superscript"/>
              </w:rPr>
            </w:pPr>
            <w:r>
              <w:rPr>
                <w:bCs/>
                <w:color w:val="000000"/>
                <w:sz w:val="14"/>
              </w:rPr>
              <w:t>списана за період з початку звітного року</w:t>
            </w:r>
          </w:p>
        </w:tc>
        <w:tc>
          <w:tcPr>
            <w:tcW w:w="1177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2616" w:type="dxa"/>
            <w:vMerge w:val="continue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630" w:type="dxa"/>
            <w:vMerge w:val="continue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623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1157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19" w:type="dxa"/>
            <w:vMerge w:val="restart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усього</w:t>
            </w:r>
          </w:p>
        </w:tc>
        <w:tc>
          <w:tcPr>
            <w:tcW w:w="1154" w:type="dxa"/>
            <w:vMerge w:val="restart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4"/>
                <w:szCs w:val="4"/>
              </w:rPr>
            </w:pPr>
            <w:r>
              <w:rPr>
                <w:bCs/>
                <w:color w:val="000000"/>
                <w:sz w:val="14"/>
              </w:rPr>
              <w:t>з неї прострочена</w:t>
            </w:r>
          </w:p>
        </w:tc>
        <w:tc>
          <w:tcPr>
            <w:tcW w:w="1142" w:type="dxa"/>
            <w:vMerge w:val="continue"/>
            <w:vAlign w:val="top"/>
          </w:tcPr>
          <w:p>
            <w:pPr>
              <w:ind w:left="-228" w:firstLine="228"/>
              <w:jc w:val="center"/>
              <w:rPr>
                <w:bCs/>
                <w:color w:val="000000"/>
                <w:sz w:val="14"/>
                <w:vertAlign w:val="superscript"/>
              </w:rPr>
            </w:pPr>
          </w:p>
        </w:tc>
        <w:tc>
          <w:tcPr>
            <w:tcW w:w="1143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32" w:type="dxa"/>
            <w:vMerge w:val="restart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усього</w:t>
            </w:r>
          </w:p>
          <w:p>
            <w:pPr>
              <w:ind w:left="-108" w:right="-108"/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2294" w:type="dxa"/>
            <w:gridSpan w:val="2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з неї</w:t>
            </w:r>
          </w:p>
        </w:tc>
        <w:tc>
          <w:tcPr>
            <w:tcW w:w="1131" w:type="dxa"/>
            <w:vMerge w:val="continue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77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5" w:hRule="atLeast"/>
        </w:trPr>
        <w:tc>
          <w:tcPr>
            <w:tcW w:w="2616" w:type="dxa"/>
            <w:vMerge w:val="continue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630" w:type="dxa"/>
            <w:vMerge w:val="continue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</w:p>
        </w:tc>
        <w:tc>
          <w:tcPr>
            <w:tcW w:w="623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</w:p>
        </w:tc>
        <w:tc>
          <w:tcPr>
            <w:tcW w:w="1157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  <w:vertAlign w:val="superscript"/>
              </w:rPr>
            </w:pPr>
          </w:p>
        </w:tc>
        <w:tc>
          <w:tcPr>
            <w:tcW w:w="1119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54" w:type="dxa"/>
            <w:vMerge w:val="continue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42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  <w:tc>
          <w:tcPr>
            <w:tcW w:w="1143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  <w:vertAlign w:val="superscript"/>
              </w:rPr>
            </w:pPr>
          </w:p>
        </w:tc>
        <w:tc>
          <w:tcPr>
            <w:tcW w:w="1132" w:type="dxa"/>
            <w:vMerge w:val="continue"/>
            <w:vAlign w:val="top"/>
          </w:tcPr>
          <w:p>
            <w:pPr>
              <w:ind w:left="-108" w:right="-108"/>
              <w:jc w:val="center"/>
              <w:rPr>
                <w:bCs/>
                <w:color w:val="000000"/>
                <w:sz w:val="14"/>
                <w:vertAlign w:val="superscript"/>
              </w:rPr>
            </w:pPr>
          </w:p>
        </w:tc>
        <w:tc>
          <w:tcPr>
            <w:tcW w:w="1152" w:type="dxa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color w:val="000000"/>
                <w:sz w:val="14"/>
                <w:szCs w:val="14"/>
              </w:rPr>
              <w:t>прострочена</w:t>
            </w:r>
          </w:p>
        </w:tc>
        <w:tc>
          <w:tcPr>
            <w:tcW w:w="1142" w:type="dxa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  <w:r>
              <w:rPr>
                <w:bCs/>
                <w:color w:val="000000"/>
                <w:sz w:val="14"/>
              </w:rPr>
              <w:t>термін оплати якої не настав</w:t>
            </w:r>
          </w:p>
        </w:tc>
        <w:tc>
          <w:tcPr>
            <w:tcW w:w="1131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  <w:vertAlign w:val="superscript"/>
              </w:rPr>
            </w:pPr>
          </w:p>
        </w:tc>
        <w:tc>
          <w:tcPr>
            <w:tcW w:w="1177" w:type="dxa"/>
            <w:vMerge w:val="continue"/>
            <w:vAlign w:val="top"/>
          </w:tcPr>
          <w:p>
            <w:pPr>
              <w:jc w:val="center"/>
              <w:rPr>
                <w:bCs/>
                <w:color w:val="000000"/>
                <w:sz w:val="14"/>
              </w:rPr>
            </w:pPr>
          </w:p>
        </w:tc>
      </w:tr>
    </w:tbl>
    <w:p>
      <w:pPr>
        <w:ind w:left="-993"/>
        <w:rPr>
          <w:b/>
          <w:color w:val="000000"/>
          <w:sz w:val="4"/>
        </w:rPr>
      </w:pPr>
    </w:p>
    <w:tbl>
      <w:tblPr>
        <w:tblStyle w:val="24"/>
        <w:tblpPr w:leftFromText="180" w:rightFromText="180" w:vertAnchor="text" w:horzAnchor="page" w:tblpX="417" w:tblpY="175"/>
        <w:tblOverlap w:val="never"/>
        <w:tblW w:w="1529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uble" w:color="auto" w:sz="4" w:space="0"/>
          <w:insideV w:val="doub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630"/>
        <w:gridCol w:w="635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43"/>
        <w:gridCol w:w="1151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3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4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5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6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7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8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9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10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11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12</w:t>
            </w: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" w:hRule="atLeast"/>
        </w:trPr>
        <w:tc>
          <w:tcPr>
            <w:tcW w:w="2593" w:type="dxa"/>
            <w:vAlign w:val="top"/>
          </w:tcPr>
          <w:p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Доходи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Х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010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11"/>
              <w:jc w:val="center"/>
              <w:rPr>
                <w:color w:val="000000"/>
                <w:lang w:val="uk-UA"/>
              </w:rPr>
            </w:pPr>
            <w:r>
              <w:rPr>
                <w:lang w:val="uk-UA"/>
              </w:rPr>
              <w:t xml:space="preserve">Видатки - </w:t>
            </w:r>
            <w:r>
              <w:rPr>
                <w:b w:val="0"/>
                <w:bCs/>
                <w:lang w:val="uk-UA"/>
              </w:rPr>
              <w:t>усього на утримання установи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Х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b/>
                <w:color w:val="000000"/>
                <w:sz w:val="18"/>
              </w:rPr>
            </w:pPr>
            <w:r>
              <w:rPr>
                <w:b/>
                <w:color w:val="000000"/>
                <w:sz w:val="18"/>
              </w:rPr>
              <w:t>020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5" w:hRule="atLeast"/>
        </w:trPr>
        <w:tc>
          <w:tcPr>
            <w:tcW w:w="2593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у тому числі:</w:t>
            </w:r>
          </w:p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8"/>
              </w:rPr>
              <w:t>Поточні  видатки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8"/>
              </w:rPr>
              <w:t xml:space="preserve"> 2000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030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14"/>
              <w:spacing w:after="0"/>
              <w:jc w:val="both"/>
              <w:rPr>
                <w:b/>
                <w:bCs/>
                <w:iCs/>
                <w:sz w:val="16"/>
                <w:szCs w:val="16"/>
                <w:lang w:eastAsia="ru-RU"/>
              </w:rPr>
            </w:pPr>
            <w:r>
              <w:rPr>
                <w:b/>
                <w:bCs/>
                <w:iCs/>
                <w:sz w:val="16"/>
                <w:szCs w:val="16"/>
                <w:lang w:eastAsia="ru-RU"/>
              </w:rPr>
              <w:t>Оплата праці і нарахування на заробітну плату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2100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040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14"/>
              <w:spacing w:after="0"/>
              <w:rPr>
                <w:bCs/>
                <w:i/>
                <w:iCs/>
                <w:sz w:val="16"/>
                <w:szCs w:val="16"/>
                <w:lang w:eastAsia="ru-RU"/>
              </w:rPr>
            </w:pPr>
            <w:r>
              <w:rPr>
                <w:bCs/>
                <w:i/>
                <w:iCs/>
                <w:sz w:val="16"/>
                <w:szCs w:val="16"/>
                <w:lang w:eastAsia="ru-RU"/>
              </w:rPr>
              <w:t xml:space="preserve">Оплата праці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2110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050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Заробітна плата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2111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27"/>
              <w:keepNext w:val="0"/>
              <w:rPr>
                <w:sz w:val="16"/>
              </w:rPr>
            </w:pPr>
            <w:r>
              <w:rPr>
                <w:sz w:val="16"/>
              </w:rPr>
              <w:t xml:space="preserve">  Грошове  забезпечення військовослужбовців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2112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070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1" w:hRule="atLeast"/>
        </w:trPr>
        <w:tc>
          <w:tcPr>
            <w:tcW w:w="2593" w:type="dxa"/>
            <w:vAlign w:val="top"/>
          </w:tcPr>
          <w:p>
            <w:pPr>
              <w:pStyle w:val="2"/>
              <w:rPr>
                <w:b w:val="0"/>
                <w:i/>
                <w:sz w:val="16"/>
                <w:lang w:val="uk-UA"/>
              </w:rPr>
            </w:pPr>
            <w:r>
              <w:rPr>
                <w:b w:val="0"/>
                <w:i/>
                <w:sz w:val="16"/>
                <w:lang w:val="uk-UA"/>
              </w:rPr>
              <w:t xml:space="preserve">Нарахування на  оплату праці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2120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080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39"/>
              <w:keepNext w:val="0"/>
              <w:jc w:val="both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Використання товарів і послуг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2200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090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Предмети, матеріали, обладнання та інвентар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2210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color w:val="000000"/>
                <w:sz w:val="16"/>
              </w:rPr>
            </w:pPr>
            <w:r>
              <w:rPr>
                <w:bCs/>
                <w:i/>
                <w:color w:val="000000"/>
                <w:sz w:val="16"/>
              </w:rPr>
              <w:t>100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Медикаменти та перев’язувальні матеріали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2220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110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Продукти харчування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2230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120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textDirection w:val="lrTb"/>
            <w:vAlign w:val="top"/>
          </w:tcPr>
          <w:p>
            <w:pPr>
              <w:pStyle w:val="14"/>
              <w:spacing w:after="0"/>
              <w:rPr>
                <w:b/>
                <w:color w:val="000000"/>
                <w:sz w:val="16"/>
              </w:rPr>
            </w:pPr>
            <w:r>
              <w:rPr>
                <w:bCs/>
                <w:i/>
                <w:iCs/>
                <w:sz w:val="16"/>
                <w:szCs w:val="16"/>
                <w:lang w:eastAsia="ru-RU"/>
              </w:rPr>
              <w:t>Оплата послуг (крім комунальних)</w:t>
            </w:r>
          </w:p>
        </w:tc>
        <w:tc>
          <w:tcPr>
            <w:tcW w:w="630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i/>
                <w:color w:val="000000"/>
                <w:sz w:val="16"/>
                <w:szCs w:val="16"/>
              </w:rPr>
              <w:t>2240</w:t>
            </w:r>
          </w:p>
        </w:tc>
        <w:tc>
          <w:tcPr>
            <w:tcW w:w="635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130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8" w:hRule="atLeast"/>
        </w:trPr>
        <w:tc>
          <w:tcPr>
            <w:tcW w:w="2593" w:type="dxa"/>
            <w:vAlign w:val="top"/>
          </w:tcPr>
          <w:p>
            <w:pPr>
              <w:pStyle w:val="14"/>
              <w:spacing w:after="0"/>
              <w:rPr>
                <w:bCs/>
                <w:i/>
                <w:iCs/>
                <w:sz w:val="16"/>
                <w:lang w:eastAsia="ru-RU"/>
              </w:rPr>
            </w:pPr>
            <w:r>
              <w:rPr>
                <w:bCs/>
                <w:i/>
                <w:iCs/>
                <w:sz w:val="16"/>
                <w:lang w:eastAsia="ru-RU"/>
              </w:rPr>
              <w:t>Видатки на відрядження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2250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140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1</w:t>
            </w:r>
          </w:p>
        </w:tc>
        <w:tc>
          <w:tcPr>
            <w:tcW w:w="630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2</w:t>
            </w:r>
          </w:p>
        </w:tc>
        <w:tc>
          <w:tcPr>
            <w:tcW w:w="635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3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43" w:type="dxa"/>
            <w:vAlign w:val="top"/>
          </w:tcPr>
          <w:p>
            <w:pPr>
              <w:ind w:left="-108" w:hanging="28"/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13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40"/>
              <w:rPr>
                <w:b w:val="0"/>
                <w:i/>
                <w:sz w:val="16"/>
              </w:rPr>
            </w:pPr>
            <w:r>
              <w:rPr>
                <w:b w:val="0"/>
                <w:i/>
                <w:sz w:val="16"/>
              </w:rPr>
              <w:t>Видатки та заходи спеціального призначення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2260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150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2"/>
              <w:rPr>
                <w:b w:val="0"/>
                <w:i/>
                <w:sz w:val="16"/>
                <w:lang w:val="uk-UA"/>
              </w:rPr>
            </w:pPr>
            <w:r>
              <w:rPr>
                <w:b w:val="0"/>
                <w:i/>
                <w:sz w:val="16"/>
                <w:lang w:val="uk-UA"/>
              </w:rPr>
              <w:t>Оплата комунальних послуг та енергоносіїв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2270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160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Оплата теплопостачання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</w:rPr>
            </w:pPr>
            <w:r>
              <w:rPr>
                <w:bCs/>
                <w:iCs/>
                <w:color w:val="000000"/>
                <w:sz w:val="16"/>
              </w:rPr>
              <w:t>170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Оплата водопостачання  та водовідведення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</w:rPr>
            </w:pPr>
            <w:r>
              <w:rPr>
                <w:bCs/>
                <w:iCs/>
                <w:color w:val="000000"/>
                <w:sz w:val="16"/>
              </w:rPr>
              <w:t>180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Оплата електроенергії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2273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</w:rPr>
            </w:pPr>
            <w:r>
              <w:rPr>
                <w:bCs/>
                <w:iCs/>
                <w:color w:val="000000"/>
                <w:sz w:val="16"/>
              </w:rPr>
              <w:t>190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Оплата природного газу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2274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200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3"/>
              <w:rPr>
                <w:b w:val="0"/>
                <w:i/>
                <w:sz w:val="16"/>
                <w:lang w:val="uk-UA"/>
              </w:rPr>
            </w:pPr>
            <w:r>
              <w:rPr>
                <w:b w:val="0"/>
                <w:sz w:val="16"/>
                <w:lang w:val="uk-UA"/>
              </w:rPr>
              <w:t xml:space="preserve">  Оплата інших енергоносіїв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2275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210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3"/>
              <w:rPr>
                <w:b w:val="0"/>
                <w:sz w:val="16"/>
                <w:lang w:val="uk-UA"/>
              </w:rPr>
            </w:pPr>
            <w:r>
              <w:rPr>
                <w:b w:val="0"/>
                <w:sz w:val="16"/>
                <w:lang w:val="uk-UA"/>
              </w:rPr>
              <w:t xml:space="preserve">  Оплата енергосервісу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2276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3"/>
              <w:jc w:val="both"/>
              <w:rPr>
                <w:b w:val="0"/>
                <w:i/>
                <w:sz w:val="16"/>
                <w:szCs w:val="16"/>
                <w:lang w:val="uk-UA"/>
              </w:rPr>
            </w:pPr>
            <w:r>
              <w:rPr>
                <w:b w:val="0"/>
                <w:i/>
                <w:sz w:val="16"/>
                <w:szCs w:val="16"/>
                <w:lang w:val="uk-UA"/>
              </w:rPr>
              <w:t>Дослідження і розробки, окремі заходи по реалізації державних (регіональних) програм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2280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jc w:val="both"/>
              <w:rPr>
                <w:bCs/>
                <w:sz w:val="18"/>
              </w:rPr>
            </w:pPr>
            <w:r>
              <w:rPr>
                <w:bCs/>
                <w:iCs/>
                <w:sz w:val="16"/>
              </w:rPr>
              <w:t xml:space="preserve">  Дослідження і розробки, окремі заходи розвитку по реалізації державних (регіональних) програм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2281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jc w:val="both"/>
              <w:rPr>
                <w:bCs/>
                <w:sz w:val="18"/>
              </w:rPr>
            </w:pPr>
            <w:r>
              <w:rPr>
                <w:bCs/>
                <w:iCs/>
                <w:sz w:val="16"/>
              </w:rPr>
              <w:t xml:space="preserve">  Окремі заходи по реалізації державних (регіональних) програм, не віднесені до заходів розвитку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2282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250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Обслуговування боргових зобов’язань</w:t>
            </w:r>
          </w:p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2400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260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Обслуговування внутрішніх боргових зобов’язань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2410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Обслуговування зовнішніх боргових зобов’язань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2420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280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Поточні трансферти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2600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290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14"/>
              <w:spacing w:after="0"/>
              <w:jc w:val="both"/>
              <w:rPr>
                <w:bCs/>
                <w:i/>
                <w:iCs/>
                <w:sz w:val="16"/>
                <w:szCs w:val="16"/>
                <w:lang w:eastAsia="ru-RU"/>
              </w:rPr>
            </w:pPr>
            <w:r>
              <w:rPr>
                <w:bCs/>
                <w:i/>
                <w:iCs/>
                <w:sz w:val="16"/>
                <w:szCs w:val="16"/>
                <w:lang w:eastAsia="ru-RU"/>
              </w:rPr>
              <w:t>Субсидії та поточні трансферти підприємствам (установам, організаціям)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2610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300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14"/>
              <w:spacing w:after="0"/>
              <w:jc w:val="both"/>
              <w:rPr>
                <w:bCs/>
                <w:i/>
                <w:iCs/>
                <w:sz w:val="16"/>
                <w:lang w:eastAsia="ru-RU"/>
              </w:rPr>
            </w:pPr>
            <w:r>
              <w:rPr>
                <w:bCs/>
                <w:i/>
                <w:iCs/>
                <w:sz w:val="16"/>
                <w:lang w:eastAsia="ru-RU"/>
              </w:rPr>
              <w:t>Поточні трансферти органам державного управління інших рівнів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2620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pStyle w:val="39"/>
              <w:rPr>
                <w:b w:val="0"/>
                <w:i/>
                <w:sz w:val="16"/>
                <w:lang w:val="uk-UA"/>
              </w:rPr>
            </w:pPr>
            <w:r>
              <w:rPr>
                <w:b w:val="0"/>
                <w:i/>
                <w:sz w:val="16"/>
                <w:lang w:val="uk-UA"/>
              </w:rPr>
              <w:t>Поточні трансферти  урядам іноземних держав та міжнародним організаціям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2630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320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Соціальне забезпечення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2700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330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Виплата пенсій і допомоги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2710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340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Стипендії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2720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350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Інші виплати населенню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2730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>360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Інші поточні видатки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2800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370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  <w:vertAlign w:val="superscript"/>
              </w:rPr>
            </w:pPr>
            <w:r>
              <w:rPr>
                <w:b/>
                <w:sz w:val="18"/>
                <w:szCs w:val="18"/>
              </w:rPr>
              <w:t>Капітальні  видатки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3000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380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Придбання основного капіталу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3100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b/>
                <w:bCs/>
                <w:iCs/>
                <w:color w:val="000000"/>
                <w:sz w:val="16"/>
                <w:szCs w:val="16"/>
              </w:rPr>
              <w:t>390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color w:val="000000"/>
                <w:sz w:val="16"/>
              </w:rPr>
            </w:pPr>
            <w:r>
              <w:rPr>
                <w:i/>
                <w:iCs w:val="0"/>
                <w:color w:val="000000"/>
                <w:sz w:val="16"/>
              </w:rPr>
              <w:t>Придбання обладнання і предметів довгострокового користування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400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top"/>
          </w:tcPr>
          <w:p>
            <w:pPr>
              <w:jc w:val="center"/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1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</w:rPr>
            </w:pPr>
            <w:r>
              <w:rPr>
                <w:b/>
                <w:iCs/>
                <w:color w:val="000000"/>
                <w:sz w:val="16"/>
              </w:rPr>
              <w:t>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</w:rPr>
            </w:pPr>
            <w:r>
              <w:rPr>
                <w:b/>
                <w:iCs/>
                <w:color w:val="000000"/>
                <w:sz w:val="16"/>
              </w:rPr>
              <w:t>3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4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6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7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8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9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43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51" w:type="dxa"/>
            <w:vAlign w:val="top"/>
          </w:tcPr>
          <w:p>
            <w:pPr>
              <w:jc w:val="center"/>
              <w:rPr>
                <w:b/>
                <w:iCs/>
                <w:color w:val="000000"/>
                <w:sz w:val="16"/>
                <w:szCs w:val="16"/>
              </w:rPr>
            </w:pPr>
            <w:r>
              <w:rPr>
                <w:b/>
                <w:iCs/>
                <w:color w:val="000000"/>
                <w:sz w:val="16"/>
                <w:szCs w:val="16"/>
              </w:rPr>
              <w:t>13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pStyle w:val="27"/>
              <w:rPr>
                <w:i/>
                <w:sz w:val="16"/>
              </w:rPr>
            </w:pPr>
            <w:r>
              <w:rPr>
                <w:i/>
                <w:sz w:val="16"/>
              </w:rPr>
              <w:t xml:space="preserve">Капітальне будівництво </w:t>
            </w:r>
          </w:p>
          <w:p>
            <w:pPr>
              <w:pStyle w:val="27"/>
              <w:rPr>
                <w:i/>
                <w:sz w:val="16"/>
              </w:rPr>
            </w:pPr>
            <w:r>
              <w:rPr>
                <w:i/>
                <w:sz w:val="16"/>
              </w:rPr>
              <w:t>(придбання)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>410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Капітальне будівництво (придбання) житла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3121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</w:rPr>
            </w:pPr>
            <w:r>
              <w:rPr>
                <w:bCs/>
                <w:iCs/>
                <w:color w:val="000000"/>
                <w:sz w:val="16"/>
              </w:rPr>
              <w:t>420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Cs/>
                <w:i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 xml:space="preserve">   Капітальне  будівництво (придбання) інших об’єктів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3122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2593" w:type="dxa"/>
            <w:vAlign w:val="center"/>
          </w:tcPr>
          <w:p>
            <w:pPr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Капітальний ремонт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3130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>440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  Капітальний ремонт житлового фонду (приміщень)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3131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450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sz w:val="16"/>
              </w:rPr>
            </w:pPr>
            <w:r>
              <w:rPr>
                <w:sz w:val="16"/>
              </w:rPr>
              <w:t xml:space="preserve">  Капітальний ремонт інших об’єктів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3132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Реконструкція  та  реставрація 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3140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470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bCs/>
                <w:sz w:val="16"/>
              </w:rPr>
            </w:pPr>
            <w:r>
              <w:rPr>
                <w:b/>
                <w:sz w:val="18"/>
              </w:rPr>
              <w:t xml:space="preserve">  </w:t>
            </w:r>
            <w:r>
              <w:rPr>
                <w:bCs/>
                <w:sz w:val="16"/>
              </w:rPr>
              <w:t>Реконструкція житлового фонду (приміщень)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3141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480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bCs/>
                <w:sz w:val="16"/>
              </w:rPr>
            </w:pPr>
            <w:r>
              <w:rPr>
                <w:b/>
                <w:sz w:val="18"/>
              </w:rPr>
              <w:t xml:space="preserve">  </w:t>
            </w:r>
            <w:r>
              <w:rPr>
                <w:bCs/>
                <w:sz w:val="16"/>
              </w:rPr>
              <w:t>Реконструкція та реставрація інших об’єктів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  <w:lang w:val="ru-RU"/>
              </w:rPr>
            </w:pPr>
            <w:r>
              <w:rPr>
                <w:bCs/>
                <w:color w:val="000000"/>
                <w:sz w:val="16"/>
                <w:lang w:val="ru-RU"/>
              </w:rPr>
              <w:t>3142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490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</w:trPr>
        <w:tc>
          <w:tcPr>
            <w:tcW w:w="2593" w:type="dxa"/>
            <w:vAlign w:val="center"/>
          </w:tcPr>
          <w:p>
            <w:pPr>
              <w:rPr>
                <w:bCs/>
                <w:sz w:val="16"/>
              </w:rPr>
            </w:pPr>
            <w:r>
              <w:rPr>
                <w:b/>
                <w:sz w:val="18"/>
              </w:rPr>
              <w:t xml:space="preserve">  </w:t>
            </w:r>
            <w:r>
              <w:rPr>
                <w:bCs/>
                <w:sz w:val="16"/>
              </w:rPr>
              <w:t>Реставрація пам’яток культури, історії та архітектури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Cs/>
                <w:color w:val="000000"/>
                <w:sz w:val="16"/>
              </w:rPr>
            </w:pPr>
            <w:r>
              <w:rPr>
                <w:bCs/>
                <w:color w:val="000000"/>
                <w:sz w:val="16"/>
              </w:rPr>
              <w:t>3143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color w:val="000000"/>
                <w:sz w:val="16"/>
              </w:rPr>
            </w:pPr>
            <w:r>
              <w:rPr>
                <w:color w:val="000000"/>
                <w:sz w:val="16"/>
              </w:rPr>
              <w:t>500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Створення державних запасів і резервів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3150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iCs/>
                <w:color w:val="000000"/>
                <w:sz w:val="16"/>
              </w:rPr>
            </w:pPr>
            <w:r>
              <w:rPr>
                <w:i/>
                <w:iCs/>
                <w:color w:val="000000"/>
                <w:sz w:val="16"/>
              </w:rPr>
              <w:t>510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Придбання землі  та нематеріальних активів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3160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520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Капітальні трансферти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3200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b/>
                <w:color w:val="000000"/>
                <w:sz w:val="16"/>
              </w:rPr>
            </w:pPr>
            <w:r>
              <w:rPr>
                <w:b/>
                <w:color w:val="000000"/>
                <w:sz w:val="16"/>
              </w:rPr>
              <w:t>530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" w:hRule="atLeast"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color w:val="000000"/>
                <w:sz w:val="16"/>
              </w:rPr>
            </w:pPr>
            <w:r>
              <w:rPr>
                <w:i/>
                <w:sz w:val="16"/>
              </w:rPr>
              <w:t>Капітальні трансферти підпри</w:t>
            </w:r>
            <w:r>
              <w:rPr>
                <w:i/>
                <w:color w:val="000000"/>
                <w:sz w:val="16"/>
              </w:rPr>
              <w:t>ємствам (установам, організаціям)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3210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540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jc w:val="both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Капітальні трансферти органам державного управління інших рівнів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3220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550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Капітальні трансферти  урядам іноземних держав та міжнародним організаціям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3230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560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double" w:color="auto" w:sz="4" w:space="0"/>
            <w:insideV w:val="doub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593" w:type="dxa"/>
            <w:vAlign w:val="center"/>
          </w:tcPr>
          <w:p>
            <w:pPr>
              <w:rPr>
                <w:i/>
                <w:sz w:val="16"/>
              </w:rPr>
            </w:pPr>
            <w:r>
              <w:rPr>
                <w:i/>
                <w:sz w:val="16"/>
              </w:rPr>
              <w:t>Капітальні трансферти населенню</w:t>
            </w:r>
          </w:p>
        </w:tc>
        <w:tc>
          <w:tcPr>
            <w:tcW w:w="630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3240</w:t>
            </w:r>
          </w:p>
        </w:tc>
        <w:tc>
          <w:tcPr>
            <w:tcW w:w="635" w:type="dxa"/>
            <w:vAlign w:val="top"/>
          </w:tcPr>
          <w:p>
            <w:pPr>
              <w:jc w:val="center"/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>570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43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  <w:tc>
          <w:tcPr>
            <w:tcW w:w="1151" w:type="dxa"/>
            <w:textDirection w:val="lrTb"/>
            <w:vAlign w:val="top"/>
          </w:tcPr>
          <w:p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value</w:t>
            </w:r>
          </w:p>
        </w:tc>
      </w:tr>
    </w:tbl>
    <w:p/>
    <w:p>
      <w:pPr>
        <w:ind w:left="12240" w:right="-980"/>
      </w:pPr>
    </w:p>
    <w:p>
      <w:pPr>
        <w:jc w:val="right"/>
        <w:rPr>
          <w:sz w:val="16"/>
        </w:rPr>
      </w:pPr>
    </w:p>
    <w:p>
      <w:pPr>
        <w:ind w:right="-585"/>
        <w:rPr>
          <w:sz w:val="16"/>
        </w:rPr>
      </w:pPr>
      <w:r>
        <w:rPr>
          <w:sz w:val="16"/>
          <w:vertAlign w:val="superscript"/>
        </w:rPr>
        <w:t>1</w:t>
      </w:r>
      <w:r>
        <w:rPr>
          <w:sz w:val="16"/>
        </w:rPr>
        <w:t xml:space="preserve"> У місячній бюджетній звітності рядки з  380  по  570  не заповнюються.</w:t>
      </w:r>
    </w:p>
    <w:p>
      <w:pPr>
        <w:rPr>
          <w:sz w:val="16"/>
        </w:rPr>
      </w:pPr>
    </w:p>
    <w:p>
      <w:pPr>
        <w:rPr>
          <w:sz w:val="16"/>
        </w:rPr>
      </w:pPr>
    </w:p>
    <w:p>
      <w:pPr>
        <w:pStyle w:val="32"/>
        <w:outlineLvl w:val="2"/>
        <w:rPr>
          <w:bCs/>
          <w:sz w:val="18"/>
        </w:rPr>
      </w:pPr>
      <w:r>
        <w:rPr>
          <w:bCs/>
          <w:sz w:val="18"/>
        </w:rPr>
        <w:t xml:space="preserve">Керівник    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____________________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_______________________________</w:t>
      </w:r>
    </w:p>
    <w:p>
      <w:pPr>
        <w:pStyle w:val="32"/>
        <w:outlineLvl w:val="2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(підпис)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(ініціали, прізвище)</w:t>
      </w:r>
    </w:p>
    <w:p>
      <w:pPr>
        <w:pStyle w:val="32"/>
        <w:outlineLvl w:val="2"/>
        <w:rPr>
          <w:bCs/>
          <w:sz w:val="18"/>
        </w:rPr>
      </w:pPr>
      <w:r>
        <w:rPr>
          <w:bCs/>
          <w:sz w:val="18"/>
        </w:rPr>
        <w:t>Головний бухгалтер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____________________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_______________________________</w:t>
      </w:r>
    </w:p>
    <w:p>
      <w:pPr>
        <w:pStyle w:val="32"/>
        <w:outlineLvl w:val="2"/>
        <w:rPr>
          <w:bCs/>
          <w:sz w:val="18"/>
        </w:rPr>
      </w:pP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(підпис)</w:t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ab/>
      </w:r>
      <w:r>
        <w:rPr>
          <w:bCs/>
          <w:sz w:val="18"/>
        </w:rPr>
        <w:t>(ініціали, прізвище)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"___"_____________20___року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bCs/>
          <w:sz w:val="16"/>
          <w:szCs w:val="16"/>
        </w:rPr>
        <w:t>*</w:t>
      </w:r>
      <w:r>
        <w:rPr>
          <w:sz w:val="16"/>
          <w:szCs w:val="16"/>
        </w:rPr>
        <w:t>До запровадження програмно-цільового методу складання та виконання місцевих бюджетів проставляються код та назва тимчасової класифікації видатків та кредитування місцевих бюджетів.</w:t>
      </w:r>
    </w:p>
    <w:p>
      <w:pPr>
        <w:rPr>
          <w:sz w:val="18"/>
          <w:szCs w:val="18"/>
        </w:rPr>
      </w:pPr>
    </w:p>
    <w:sectPr>
      <w:headerReference r:id="rId3" w:type="default"/>
      <w:footerReference r:id="rId5" w:type="default"/>
      <w:headerReference r:id="rId4" w:type="even"/>
      <w:pgSz w:w="15840" w:h="12240" w:orient="landscape"/>
      <w:pgMar w:top="547" w:right="389" w:bottom="1267" w:left="432" w:header="706" w:footer="706" w:gutter="0"/>
      <w:pgNumType w:start="1"/>
      <w:cols w:space="0" w:num="1"/>
      <w:titlePg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sz w:val="16"/>
      </w:rPr>
      <w:t>Продовження додатка 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framePr w:wrap="around" w:vAnchor="text" w:hAnchor="margin" w:xAlign="center" w:y="1"/>
      <w:rPr>
        <w:rStyle w:val="23"/>
      </w:rPr>
    </w:pPr>
    <w:r>
      <w:fldChar w:fldCharType="begin"/>
    </w:r>
    <w:r>
      <w:rPr>
        <w:rStyle w:val="23"/>
      </w:rPr>
      <w:instrText xml:space="preserve">PAGE  </w:instrText>
    </w:r>
    <w:r>
      <w:fldChar w:fldCharType="end"/>
    </w:r>
  </w:p>
  <w:p>
    <w:pPr>
      <w:pStyle w:val="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43"/>
    <w:rsid w:val="00000484"/>
    <w:rsid w:val="00000796"/>
    <w:rsid w:val="00000D20"/>
    <w:rsid w:val="00002EBB"/>
    <w:rsid w:val="00005E47"/>
    <w:rsid w:val="00006D31"/>
    <w:rsid w:val="00014589"/>
    <w:rsid w:val="00014924"/>
    <w:rsid w:val="00016A37"/>
    <w:rsid w:val="000240B5"/>
    <w:rsid w:val="00024120"/>
    <w:rsid w:val="0003030E"/>
    <w:rsid w:val="00030A5E"/>
    <w:rsid w:val="00033955"/>
    <w:rsid w:val="00033F98"/>
    <w:rsid w:val="0003420C"/>
    <w:rsid w:val="0003725F"/>
    <w:rsid w:val="000378FC"/>
    <w:rsid w:val="0003791A"/>
    <w:rsid w:val="000455A8"/>
    <w:rsid w:val="0004637C"/>
    <w:rsid w:val="0005150D"/>
    <w:rsid w:val="00051B88"/>
    <w:rsid w:val="00051F8D"/>
    <w:rsid w:val="00053A73"/>
    <w:rsid w:val="0005409C"/>
    <w:rsid w:val="00055577"/>
    <w:rsid w:val="000559F3"/>
    <w:rsid w:val="00056B92"/>
    <w:rsid w:val="00061C70"/>
    <w:rsid w:val="0006366D"/>
    <w:rsid w:val="000704BC"/>
    <w:rsid w:val="0007217B"/>
    <w:rsid w:val="00074584"/>
    <w:rsid w:val="00075706"/>
    <w:rsid w:val="000762E2"/>
    <w:rsid w:val="00076B61"/>
    <w:rsid w:val="00080CA6"/>
    <w:rsid w:val="00081B3D"/>
    <w:rsid w:val="00086055"/>
    <w:rsid w:val="00086F22"/>
    <w:rsid w:val="00090878"/>
    <w:rsid w:val="00090976"/>
    <w:rsid w:val="00090DB9"/>
    <w:rsid w:val="00092518"/>
    <w:rsid w:val="00092FB9"/>
    <w:rsid w:val="00093C1A"/>
    <w:rsid w:val="00095AD9"/>
    <w:rsid w:val="00097F19"/>
    <w:rsid w:val="000A211A"/>
    <w:rsid w:val="000A29F9"/>
    <w:rsid w:val="000A2B6B"/>
    <w:rsid w:val="000A44E2"/>
    <w:rsid w:val="000A5857"/>
    <w:rsid w:val="000B077B"/>
    <w:rsid w:val="000B3FB9"/>
    <w:rsid w:val="000B48C9"/>
    <w:rsid w:val="000B6601"/>
    <w:rsid w:val="000B7037"/>
    <w:rsid w:val="000B765F"/>
    <w:rsid w:val="000C043B"/>
    <w:rsid w:val="000C09C9"/>
    <w:rsid w:val="000C0E0C"/>
    <w:rsid w:val="000C284F"/>
    <w:rsid w:val="000C28C3"/>
    <w:rsid w:val="000C42BB"/>
    <w:rsid w:val="000C62FE"/>
    <w:rsid w:val="000D0559"/>
    <w:rsid w:val="000D2BB9"/>
    <w:rsid w:val="000D3CF7"/>
    <w:rsid w:val="000D4764"/>
    <w:rsid w:val="000E1A80"/>
    <w:rsid w:val="000E1BD7"/>
    <w:rsid w:val="000E1F97"/>
    <w:rsid w:val="000E259B"/>
    <w:rsid w:val="000E56B6"/>
    <w:rsid w:val="000E5B2D"/>
    <w:rsid w:val="000E7079"/>
    <w:rsid w:val="000F0D6C"/>
    <w:rsid w:val="000F1800"/>
    <w:rsid w:val="000F2391"/>
    <w:rsid w:val="000F4A6C"/>
    <w:rsid w:val="000F56B1"/>
    <w:rsid w:val="000F5897"/>
    <w:rsid w:val="000F63C9"/>
    <w:rsid w:val="000F6E58"/>
    <w:rsid w:val="00101509"/>
    <w:rsid w:val="0010252E"/>
    <w:rsid w:val="00104275"/>
    <w:rsid w:val="00105194"/>
    <w:rsid w:val="00107364"/>
    <w:rsid w:val="00111A66"/>
    <w:rsid w:val="00111E24"/>
    <w:rsid w:val="0011222D"/>
    <w:rsid w:val="001126E7"/>
    <w:rsid w:val="00112791"/>
    <w:rsid w:val="00116CA1"/>
    <w:rsid w:val="00122016"/>
    <w:rsid w:val="001220B9"/>
    <w:rsid w:val="00126B06"/>
    <w:rsid w:val="001313A1"/>
    <w:rsid w:val="0013426E"/>
    <w:rsid w:val="00134E22"/>
    <w:rsid w:val="00134E30"/>
    <w:rsid w:val="00135FD2"/>
    <w:rsid w:val="00136A24"/>
    <w:rsid w:val="00137B75"/>
    <w:rsid w:val="001423EF"/>
    <w:rsid w:val="00142D55"/>
    <w:rsid w:val="001434DD"/>
    <w:rsid w:val="001436A9"/>
    <w:rsid w:val="0014595C"/>
    <w:rsid w:val="0014646C"/>
    <w:rsid w:val="001477D9"/>
    <w:rsid w:val="00153C3F"/>
    <w:rsid w:val="0015441F"/>
    <w:rsid w:val="00155697"/>
    <w:rsid w:val="00156CDF"/>
    <w:rsid w:val="0015780D"/>
    <w:rsid w:val="00162ACB"/>
    <w:rsid w:val="00163D7D"/>
    <w:rsid w:val="00163FD4"/>
    <w:rsid w:val="00166749"/>
    <w:rsid w:val="00167D89"/>
    <w:rsid w:val="0017030D"/>
    <w:rsid w:val="00170355"/>
    <w:rsid w:val="0017046E"/>
    <w:rsid w:val="001704B6"/>
    <w:rsid w:val="00170503"/>
    <w:rsid w:val="00172303"/>
    <w:rsid w:val="00172377"/>
    <w:rsid w:val="00172A7D"/>
    <w:rsid w:val="00172B73"/>
    <w:rsid w:val="001742B2"/>
    <w:rsid w:val="00176C88"/>
    <w:rsid w:val="00177304"/>
    <w:rsid w:val="00177454"/>
    <w:rsid w:val="0017757F"/>
    <w:rsid w:val="001777B2"/>
    <w:rsid w:val="00181BDA"/>
    <w:rsid w:val="00182B35"/>
    <w:rsid w:val="0018330C"/>
    <w:rsid w:val="00186BA3"/>
    <w:rsid w:val="00187A37"/>
    <w:rsid w:val="00187BBE"/>
    <w:rsid w:val="00193C73"/>
    <w:rsid w:val="00194455"/>
    <w:rsid w:val="00196CDF"/>
    <w:rsid w:val="0019733B"/>
    <w:rsid w:val="00197FDE"/>
    <w:rsid w:val="001A0E52"/>
    <w:rsid w:val="001A0E69"/>
    <w:rsid w:val="001A2EFB"/>
    <w:rsid w:val="001A3127"/>
    <w:rsid w:val="001A353B"/>
    <w:rsid w:val="001A6886"/>
    <w:rsid w:val="001A7CDC"/>
    <w:rsid w:val="001A7DBB"/>
    <w:rsid w:val="001B0957"/>
    <w:rsid w:val="001B1250"/>
    <w:rsid w:val="001B1C29"/>
    <w:rsid w:val="001B21E6"/>
    <w:rsid w:val="001B2A1E"/>
    <w:rsid w:val="001B5788"/>
    <w:rsid w:val="001C1396"/>
    <w:rsid w:val="001C210D"/>
    <w:rsid w:val="001C213C"/>
    <w:rsid w:val="001C6437"/>
    <w:rsid w:val="001C6AA1"/>
    <w:rsid w:val="001C6D45"/>
    <w:rsid w:val="001D023B"/>
    <w:rsid w:val="001D0F6A"/>
    <w:rsid w:val="001D5484"/>
    <w:rsid w:val="001D6028"/>
    <w:rsid w:val="001D6619"/>
    <w:rsid w:val="001E5929"/>
    <w:rsid w:val="001E7056"/>
    <w:rsid w:val="001E7D9C"/>
    <w:rsid w:val="001F214E"/>
    <w:rsid w:val="001F348E"/>
    <w:rsid w:val="001F3C7E"/>
    <w:rsid w:val="001F468C"/>
    <w:rsid w:val="001F6A77"/>
    <w:rsid w:val="002023B5"/>
    <w:rsid w:val="00207626"/>
    <w:rsid w:val="002076E4"/>
    <w:rsid w:val="00210925"/>
    <w:rsid w:val="0021328C"/>
    <w:rsid w:val="00213DCB"/>
    <w:rsid w:val="00214800"/>
    <w:rsid w:val="002154D0"/>
    <w:rsid w:val="0021609E"/>
    <w:rsid w:val="002200EF"/>
    <w:rsid w:val="002209BF"/>
    <w:rsid w:val="002213C9"/>
    <w:rsid w:val="002218DC"/>
    <w:rsid w:val="00221D01"/>
    <w:rsid w:val="0022280A"/>
    <w:rsid w:val="00223A26"/>
    <w:rsid w:val="002327B5"/>
    <w:rsid w:val="0023405A"/>
    <w:rsid w:val="00235071"/>
    <w:rsid w:val="00236CC9"/>
    <w:rsid w:val="00236DA6"/>
    <w:rsid w:val="00237AB5"/>
    <w:rsid w:val="00237D9E"/>
    <w:rsid w:val="00240049"/>
    <w:rsid w:val="002401FB"/>
    <w:rsid w:val="00241C3B"/>
    <w:rsid w:val="002425DF"/>
    <w:rsid w:val="002428C6"/>
    <w:rsid w:val="00242CC5"/>
    <w:rsid w:val="00243814"/>
    <w:rsid w:val="0024476A"/>
    <w:rsid w:val="00245534"/>
    <w:rsid w:val="0025213E"/>
    <w:rsid w:val="002522D8"/>
    <w:rsid w:val="00253362"/>
    <w:rsid w:val="00254D20"/>
    <w:rsid w:val="0025551B"/>
    <w:rsid w:val="00255724"/>
    <w:rsid w:val="00255EB0"/>
    <w:rsid w:val="0025605B"/>
    <w:rsid w:val="00256438"/>
    <w:rsid w:val="00257593"/>
    <w:rsid w:val="00257811"/>
    <w:rsid w:val="00257AEB"/>
    <w:rsid w:val="00257B74"/>
    <w:rsid w:val="00260C03"/>
    <w:rsid w:val="002612B4"/>
    <w:rsid w:val="002629C4"/>
    <w:rsid w:val="0026604F"/>
    <w:rsid w:val="002700C9"/>
    <w:rsid w:val="002708F3"/>
    <w:rsid w:val="002714D3"/>
    <w:rsid w:val="00272BBC"/>
    <w:rsid w:val="0027411A"/>
    <w:rsid w:val="00274DDC"/>
    <w:rsid w:val="00281ADB"/>
    <w:rsid w:val="0028312F"/>
    <w:rsid w:val="002837BD"/>
    <w:rsid w:val="002863F2"/>
    <w:rsid w:val="002956AF"/>
    <w:rsid w:val="002961F5"/>
    <w:rsid w:val="002963BC"/>
    <w:rsid w:val="0029659D"/>
    <w:rsid w:val="00297D83"/>
    <w:rsid w:val="002A0EFF"/>
    <w:rsid w:val="002A17DD"/>
    <w:rsid w:val="002A3D08"/>
    <w:rsid w:val="002A4077"/>
    <w:rsid w:val="002A5EED"/>
    <w:rsid w:val="002A647A"/>
    <w:rsid w:val="002A6960"/>
    <w:rsid w:val="002B1F08"/>
    <w:rsid w:val="002B41A9"/>
    <w:rsid w:val="002B44AB"/>
    <w:rsid w:val="002B566D"/>
    <w:rsid w:val="002B6D4F"/>
    <w:rsid w:val="002C18F4"/>
    <w:rsid w:val="002C2946"/>
    <w:rsid w:val="002C2B0C"/>
    <w:rsid w:val="002C351B"/>
    <w:rsid w:val="002D11AB"/>
    <w:rsid w:val="002D1378"/>
    <w:rsid w:val="002D4A7D"/>
    <w:rsid w:val="002D7835"/>
    <w:rsid w:val="002E0128"/>
    <w:rsid w:val="002E0D05"/>
    <w:rsid w:val="002E1E5C"/>
    <w:rsid w:val="002E2AAE"/>
    <w:rsid w:val="002E3988"/>
    <w:rsid w:val="002E4F31"/>
    <w:rsid w:val="002E5C73"/>
    <w:rsid w:val="002E5DC8"/>
    <w:rsid w:val="002E6644"/>
    <w:rsid w:val="002E6840"/>
    <w:rsid w:val="002F2EF9"/>
    <w:rsid w:val="002F33A2"/>
    <w:rsid w:val="002F3C61"/>
    <w:rsid w:val="002F4C23"/>
    <w:rsid w:val="002F6132"/>
    <w:rsid w:val="002F6910"/>
    <w:rsid w:val="003004F6"/>
    <w:rsid w:val="00301A8A"/>
    <w:rsid w:val="00304557"/>
    <w:rsid w:val="00305364"/>
    <w:rsid w:val="003066E9"/>
    <w:rsid w:val="00307858"/>
    <w:rsid w:val="00313527"/>
    <w:rsid w:val="0031493F"/>
    <w:rsid w:val="003150FC"/>
    <w:rsid w:val="00315FF1"/>
    <w:rsid w:val="00320FB8"/>
    <w:rsid w:val="0032645A"/>
    <w:rsid w:val="00330227"/>
    <w:rsid w:val="003316EA"/>
    <w:rsid w:val="00332B5E"/>
    <w:rsid w:val="0033525B"/>
    <w:rsid w:val="0033532A"/>
    <w:rsid w:val="0033532D"/>
    <w:rsid w:val="00335B73"/>
    <w:rsid w:val="003364FE"/>
    <w:rsid w:val="003404B4"/>
    <w:rsid w:val="00341BB2"/>
    <w:rsid w:val="0034625C"/>
    <w:rsid w:val="003466E3"/>
    <w:rsid w:val="0034702B"/>
    <w:rsid w:val="00347BFD"/>
    <w:rsid w:val="00351736"/>
    <w:rsid w:val="00352D34"/>
    <w:rsid w:val="00352ECB"/>
    <w:rsid w:val="00353BE4"/>
    <w:rsid w:val="00356E56"/>
    <w:rsid w:val="00357365"/>
    <w:rsid w:val="003607A3"/>
    <w:rsid w:val="00364A05"/>
    <w:rsid w:val="00371127"/>
    <w:rsid w:val="00371C81"/>
    <w:rsid w:val="00372462"/>
    <w:rsid w:val="00372AE0"/>
    <w:rsid w:val="00372FF7"/>
    <w:rsid w:val="00373B07"/>
    <w:rsid w:val="00374056"/>
    <w:rsid w:val="00376C79"/>
    <w:rsid w:val="00383079"/>
    <w:rsid w:val="00383756"/>
    <w:rsid w:val="00384E04"/>
    <w:rsid w:val="0038716E"/>
    <w:rsid w:val="003902E4"/>
    <w:rsid w:val="00390B9A"/>
    <w:rsid w:val="00390E2E"/>
    <w:rsid w:val="00392634"/>
    <w:rsid w:val="00395BA8"/>
    <w:rsid w:val="00397565"/>
    <w:rsid w:val="003A5881"/>
    <w:rsid w:val="003A61B0"/>
    <w:rsid w:val="003A627D"/>
    <w:rsid w:val="003A6702"/>
    <w:rsid w:val="003B1A2D"/>
    <w:rsid w:val="003B5C14"/>
    <w:rsid w:val="003B6635"/>
    <w:rsid w:val="003B6E80"/>
    <w:rsid w:val="003B72D0"/>
    <w:rsid w:val="003B7563"/>
    <w:rsid w:val="003B78EE"/>
    <w:rsid w:val="003B7AB6"/>
    <w:rsid w:val="003C098D"/>
    <w:rsid w:val="003C691D"/>
    <w:rsid w:val="003D08FB"/>
    <w:rsid w:val="003D26CC"/>
    <w:rsid w:val="003D3E91"/>
    <w:rsid w:val="003D41AE"/>
    <w:rsid w:val="003D4DF9"/>
    <w:rsid w:val="003D53FE"/>
    <w:rsid w:val="003D7685"/>
    <w:rsid w:val="003E163E"/>
    <w:rsid w:val="003E4609"/>
    <w:rsid w:val="003E59D0"/>
    <w:rsid w:val="003E5B09"/>
    <w:rsid w:val="003E7C9C"/>
    <w:rsid w:val="003F0F07"/>
    <w:rsid w:val="003F1D33"/>
    <w:rsid w:val="003F2329"/>
    <w:rsid w:val="003F2EBE"/>
    <w:rsid w:val="003F409E"/>
    <w:rsid w:val="003F546C"/>
    <w:rsid w:val="003F5ACB"/>
    <w:rsid w:val="003F6AD1"/>
    <w:rsid w:val="003F6D0B"/>
    <w:rsid w:val="003F7113"/>
    <w:rsid w:val="003F7ED7"/>
    <w:rsid w:val="004003F7"/>
    <w:rsid w:val="004004A0"/>
    <w:rsid w:val="00401412"/>
    <w:rsid w:val="00402397"/>
    <w:rsid w:val="004039DA"/>
    <w:rsid w:val="004060A9"/>
    <w:rsid w:val="00407E6D"/>
    <w:rsid w:val="00410146"/>
    <w:rsid w:val="00411944"/>
    <w:rsid w:val="004124AC"/>
    <w:rsid w:val="00413403"/>
    <w:rsid w:val="00414D6A"/>
    <w:rsid w:val="00416812"/>
    <w:rsid w:val="00416D1B"/>
    <w:rsid w:val="0041721B"/>
    <w:rsid w:val="004218CD"/>
    <w:rsid w:val="004228B1"/>
    <w:rsid w:val="00423485"/>
    <w:rsid w:val="00423892"/>
    <w:rsid w:val="00432A30"/>
    <w:rsid w:val="00433A9A"/>
    <w:rsid w:val="00434DE3"/>
    <w:rsid w:val="00434F8D"/>
    <w:rsid w:val="00436C91"/>
    <w:rsid w:val="00437789"/>
    <w:rsid w:val="00443CF5"/>
    <w:rsid w:val="00451009"/>
    <w:rsid w:val="004535D1"/>
    <w:rsid w:val="00455565"/>
    <w:rsid w:val="0046029D"/>
    <w:rsid w:val="004607FE"/>
    <w:rsid w:val="00460E7E"/>
    <w:rsid w:val="00461202"/>
    <w:rsid w:val="004613F7"/>
    <w:rsid w:val="004627E8"/>
    <w:rsid w:val="004634DB"/>
    <w:rsid w:val="00464043"/>
    <w:rsid w:val="004640D3"/>
    <w:rsid w:val="004673F6"/>
    <w:rsid w:val="00467418"/>
    <w:rsid w:val="00471AA8"/>
    <w:rsid w:val="004724A6"/>
    <w:rsid w:val="00472A62"/>
    <w:rsid w:val="004738B5"/>
    <w:rsid w:val="0047624C"/>
    <w:rsid w:val="00476F45"/>
    <w:rsid w:val="00476FC7"/>
    <w:rsid w:val="004774D5"/>
    <w:rsid w:val="00480F0D"/>
    <w:rsid w:val="00482EF3"/>
    <w:rsid w:val="00486681"/>
    <w:rsid w:val="004871AB"/>
    <w:rsid w:val="00490A00"/>
    <w:rsid w:val="00490BDD"/>
    <w:rsid w:val="004921EE"/>
    <w:rsid w:val="00494603"/>
    <w:rsid w:val="004A09C2"/>
    <w:rsid w:val="004A269A"/>
    <w:rsid w:val="004A553F"/>
    <w:rsid w:val="004A56A9"/>
    <w:rsid w:val="004A5DF5"/>
    <w:rsid w:val="004A63FB"/>
    <w:rsid w:val="004A6A6F"/>
    <w:rsid w:val="004B113D"/>
    <w:rsid w:val="004B491E"/>
    <w:rsid w:val="004B657C"/>
    <w:rsid w:val="004B65C7"/>
    <w:rsid w:val="004C04D5"/>
    <w:rsid w:val="004C1168"/>
    <w:rsid w:val="004C19DB"/>
    <w:rsid w:val="004C30E9"/>
    <w:rsid w:val="004C3E18"/>
    <w:rsid w:val="004C5384"/>
    <w:rsid w:val="004C6C86"/>
    <w:rsid w:val="004C7297"/>
    <w:rsid w:val="004D44D2"/>
    <w:rsid w:val="004E1065"/>
    <w:rsid w:val="004E3A7E"/>
    <w:rsid w:val="004E5494"/>
    <w:rsid w:val="004E5933"/>
    <w:rsid w:val="004E5971"/>
    <w:rsid w:val="004E685A"/>
    <w:rsid w:val="004E78E8"/>
    <w:rsid w:val="004F27C6"/>
    <w:rsid w:val="004F2A81"/>
    <w:rsid w:val="004F4B76"/>
    <w:rsid w:val="004F583F"/>
    <w:rsid w:val="004F58BA"/>
    <w:rsid w:val="004F7B75"/>
    <w:rsid w:val="00500AC5"/>
    <w:rsid w:val="00501F7F"/>
    <w:rsid w:val="00503614"/>
    <w:rsid w:val="00516846"/>
    <w:rsid w:val="0051705C"/>
    <w:rsid w:val="00523071"/>
    <w:rsid w:val="0052319D"/>
    <w:rsid w:val="00526DC4"/>
    <w:rsid w:val="005274B9"/>
    <w:rsid w:val="00530C81"/>
    <w:rsid w:val="0053184F"/>
    <w:rsid w:val="00534434"/>
    <w:rsid w:val="00534B8B"/>
    <w:rsid w:val="0053669A"/>
    <w:rsid w:val="00536EA0"/>
    <w:rsid w:val="005378D8"/>
    <w:rsid w:val="005425D9"/>
    <w:rsid w:val="00544065"/>
    <w:rsid w:val="005448F2"/>
    <w:rsid w:val="005466F9"/>
    <w:rsid w:val="00547CC0"/>
    <w:rsid w:val="005501B6"/>
    <w:rsid w:val="00550C87"/>
    <w:rsid w:val="005523AE"/>
    <w:rsid w:val="00554199"/>
    <w:rsid w:val="0055531D"/>
    <w:rsid w:val="005566F7"/>
    <w:rsid w:val="00561CFE"/>
    <w:rsid w:val="00561D98"/>
    <w:rsid w:val="00563956"/>
    <w:rsid w:val="00566B55"/>
    <w:rsid w:val="00566FD0"/>
    <w:rsid w:val="0057035F"/>
    <w:rsid w:val="0057338B"/>
    <w:rsid w:val="005767F8"/>
    <w:rsid w:val="00580010"/>
    <w:rsid w:val="0058169B"/>
    <w:rsid w:val="005820CB"/>
    <w:rsid w:val="00584E3E"/>
    <w:rsid w:val="005854CE"/>
    <w:rsid w:val="00586473"/>
    <w:rsid w:val="00592474"/>
    <w:rsid w:val="00593D55"/>
    <w:rsid w:val="0059466C"/>
    <w:rsid w:val="005956BD"/>
    <w:rsid w:val="00595BB9"/>
    <w:rsid w:val="005A21D2"/>
    <w:rsid w:val="005A2D3D"/>
    <w:rsid w:val="005A331A"/>
    <w:rsid w:val="005A3CCC"/>
    <w:rsid w:val="005A4048"/>
    <w:rsid w:val="005A49C9"/>
    <w:rsid w:val="005A679D"/>
    <w:rsid w:val="005A697C"/>
    <w:rsid w:val="005A717F"/>
    <w:rsid w:val="005A7933"/>
    <w:rsid w:val="005B135D"/>
    <w:rsid w:val="005B1C9E"/>
    <w:rsid w:val="005B23C9"/>
    <w:rsid w:val="005B478F"/>
    <w:rsid w:val="005B57B1"/>
    <w:rsid w:val="005B5CE9"/>
    <w:rsid w:val="005B606B"/>
    <w:rsid w:val="005C390C"/>
    <w:rsid w:val="005D0E27"/>
    <w:rsid w:val="005D19AE"/>
    <w:rsid w:val="005D2417"/>
    <w:rsid w:val="005D26DF"/>
    <w:rsid w:val="005D4441"/>
    <w:rsid w:val="005D4F31"/>
    <w:rsid w:val="005D517F"/>
    <w:rsid w:val="005D5B79"/>
    <w:rsid w:val="005D6241"/>
    <w:rsid w:val="005D73F1"/>
    <w:rsid w:val="005D7515"/>
    <w:rsid w:val="005E3C99"/>
    <w:rsid w:val="005F015D"/>
    <w:rsid w:val="005F36B4"/>
    <w:rsid w:val="005F5794"/>
    <w:rsid w:val="005F6B39"/>
    <w:rsid w:val="00601657"/>
    <w:rsid w:val="006026D9"/>
    <w:rsid w:val="00602C7D"/>
    <w:rsid w:val="006037C2"/>
    <w:rsid w:val="0061048D"/>
    <w:rsid w:val="00610BEF"/>
    <w:rsid w:val="00611639"/>
    <w:rsid w:val="00613A2B"/>
    <w:rsid w:val="006203DA"/>
    <w:rsid w:val="00620408"/>
    <w:rsid w:val="00620736"/>
    <w:rsid w:val="00620D61"/>
    <w:rsid w:val="00620FFD"/>
    <w:rsid w:val="00622B3A"/>
    <w:rsid w:val="00623262"/>
    <w:rsid w:val="00626C06"/>
    <w:rsid w:val="00627308"/>
    <w:rsid w:val="0063190B"/>
    <w:rsid w:val="00632299"/>
    <w:rsid w:val="00632A0A"/>
    <w:rsid w:val="0063444F"/>
    <w:rsid w:val="00641777"/>
    <w:rsid w:val="00642E6E"/>
    <w:rsid w:val="00643A75"/>
    <w:rsid w:val="00643D4A"/>
    <w:rsid w:val="006446C7"/>
    <w:rsid w:val="006468AC"/>
    <w:rsid w:val="00647AAA"/>
    <w:rsid w:val="00650288"/>
    <w:rsid w:val="00650850"/>
    <w:rsid w:val="006525FA"/>
    <w:rsid w:val="00653C41"/>
    <w:rsid w:val="0065460A"/>
    <w:rsid w:val="00654A7A"/>
    <w:rsid w:val="006552BF"/>
    <w:rsid w:val="00660336"/>
    <w:rsid w:val="00665DB0"/>
    <w:rsid w:val="00670699"/>
    <w:rsid w:val="006715A5"/>
    <w:rsid w:val="00672918"/>
    <w:rsid w:val="0067560C"/>
    <w:rsid w:val="0067682B"/>
    <w:rsid w:val="00677BB5"/>
    <w:rsid w:val="00680943"/>
    <w:rsid w:val="00687C20"/>
    <w:rsid w:val="0069111E"/>
    <w:rsid w:val="006922A0"/>
    <w:rsid w:val="00692E7C"/>
    <w:rsid w:val="00693600"/>
    <w:rsid w:val="006947C9"/>
    <w:rsid w:val="00694920"/>
    <w:rsid w:val="006957AE"/>
    <w:rsid w:val="006A13AA"/>
    <w:rsid w:val="006A28F3"/>
    <w:rsid w:val="006A3C7B"/>
    <w:rsid w:val="006A476C"/>
    <w:rsid w:val="006A4DB5"/>
    <w:rsid w:val="006A63C8"/>
    <w:rsid w:val="006A6C01"/>
    <w:rsid w:val="006B0054"/>
    <w:rsid w:val="006B06AF"/>
    <w:rsid w:val="006B2052"/>
    <w:rsid w:val="006B2A35"/>
    <w:rsid w:val="006B3C9E"/>
    <w:rsid w:val="006B4D88"/>
    <w:rsid w:val="006B4D9F"/>
    <w:rsid w:val="006B545D"/>
    <w:rsid w:val="006B7F44"/>
    <w:rsid w:val="006C2BD3"/>
    <w:rsid w:val="006D01B9"/>
    <w:rsid w:val="006D3DC4"/>
    <w:rsid w:val="006D578E"/>
    <w:rsid w:val="006D5A41"/>
    <w:rsid w:val="006E056D"/>
    <w:rsid w:val="006E0D5A"/>
    <w:rsid w:val="006E24DE"/>
    <w:rsid w:val="006E36AC"/>
    <w:rsid w:val="006E3D06"/>
    <w:rsid w:val="006E657D"/>
    <w:rsid w:val="006E7182"/>
    <w:rsid w:val="006E793E"/>
    <w:rsid w:val="006E7E31"/>
    <w:rsid w:val="006F0FBF"/>
    <w:rsid w:val="006F1144"/>
    <w:rsid w:val="006F386E"/>
    <w:rsid w:val="006F3B52"/>
    <w:rsid w:val="006F5A39"/>
    <w:rsid w:val="006F6697"/>
    <w:rsid w:val="006F672A"/>
    <w:rsid w:val="006F6AF9"/>
    <w:rsid w:val="007000B5"/>
    <w:rsid w:val="0070139B"/>
    <w:rsid w:val="0070751D"/>
    <w:rsid w:val="00710BB7"/>
    <w:rsid w:val="007111BF"/>
    <w:rsid w:val="00715855"/>
    <w:rsid w:val="0071685F"/>
    <w:rsid w:val="00725509"/>
    <w:rsid w:val="007273AB"/>
    <w:rsid w:val="00727824"/>
    <w:rsid w:val="00731D97"/>
    <w:rsid w:val="007348B6"/>
    <w:rsid w:val="007357E9"/>
    <w:rsid w:val="00735B74"/>
    <w:rsid w:val="00736922"/>
    <w:rsid w:val="00736F99"/>
    <w:rsid w:val="00737376"/>
    <w:rsid w:val="00737E36"/>
    <w:rsid w:val="00741054"/>
    <w:rsid w:val="007411C9"/>
    <w:rsid w:val="00741275"/>
    <w:rsid w:val="00741667"/>
    <w:rsid w:val="0074347F"/>
    <w:rsid w:val="007445C4"/>
    <w:rsid w:val="00744F58"/>
    <w:rsid w:val="007451EC"/>
    <w:rsid w:val="00747AFE"/>
    <w:rsid w:val="00747B75"/>
    <w:rsid w:val="00751F01"/>
    <w:rsid w:val="0075256E"/>
    <w:rsid w:val="00752ACA"/>
    <w:rsid w:val="007531D0"/>
    <w:rsid w:val="00753255"/>
    <w:rsid w:val="00756BB1"/>
    <w:rsid w:val="007571F7"/>
    <w:rsid w:val="0076016B"/>
    <w:rsid w:val="0076078D"/>
    <w:rsid w:val="00763AB1"/>
    <w:rsid w:val="0076438E"/>
    <w:rsid w:val="007656F4"/>
    <w:rsid w:val="007663B5"/>
    <w:rsid w:val="0076641E"/>
    <w:rsid w:val="007671A8"/>
    <w:rsid w:val="00767203"/>
    <w:rsid w:val="007712EC"/>
    <w:rsid w:val="00771394"/>
    <w:rsid w:val="00771AEC"/>
    <w:rsid w:val="00774D0B"/>
    <w:rsid w:val="0077707E"/>
    <w:rsid w:val="00777E21"/>
    <w:rsid w:val="00780C45"/>
    <w:rsid w:val="00780F7B"/>
    <w:rsid w:val="0078180F"/>
    <w:rsid w:val="00782757"/>
    <w:rsid w:val="007827E9"/>
    <w:rsid w:val="00783AC0"/>
    <w:rsid w:val="00787496"/>
    <w:rsid w:val="0079053C"/>
    <w:rsid w:val="00791617"/>
    <w:rsid w:val="007916D3"/>
    <w:rsid w:val="00793F85"/>
    <w:rsid w:val="00795114"/>
    <w:rsid w:val="0079663F"/>
    <w:rsid w:val="00796A14"/>
    <w:rsid w:val="007A060F"/>
    <w:rsid w:val="007A0B85"/>
    <w:rsid w:val="007A2005"/>
    <w:rsid w:val="007A2665"/>
    <w:rsid w:val="007A4BFA"/>
    <w:rsid w:val="007B372E"/>
    <w:rsid w:val="007B3940"/>
    <w:rsid w:val="007B3B28"/>
    <w:rsid w:val="007B4888"/>
    <w:rsid w:val="007B49CF"/>
    <w:rsid w:val="007B5914"/>
    <w:rsid w:val="007B66BB"/>
    <w:rsid w:val="007B6C18"/>
    <w:rsid w:val="007B6C22"/>
    <w:rsid w:val="007C00F8"/>
    <w:rsid w:val="007C0437"/>
    <w:rsid w:val="007C2DA4"/>
    <w:rsid w:val="007C59E9"/>
    <w:rsid w:val="007C5D58"/>
    <w:rsid w:val="007D0FA3"/>
    <w:rsid w:val="007D107A"/>
    <w:rsid w:val="007D3041"/>
    <w:rsid w:val="007D7C70"/>
    <w:rsid w:val="007D7EC5"/>
    <w:rsid w:val="007E0B3E"/>
    <w:rsid w:val="007E1316"/>
    <w:rsid w:val="007E35C7"/>
    <w:rsid w:val="007E4DCB"/>
    <w:rsid w:val="007E6335"/>
    <w:rsid w:val="007E7375"/>
    <w:rsid w:val="007F1599"/>
    <w:rsid w:val="007F6487"/>
    <w:rsid w:val="007F6EEF"/>
    <w:rsid w:val="00800159"/>
    <w:rsid w:val="008019D6"/>
    <w:rsid w:val="00802F79"/>
    <w:rsid w:val="00805161"/>
    <w:rsid w:val="00805440"/>
    <w:rsid w:val="00811171"/>
    <w:rsid w:val="00812730"/>
    <w:rsid w:val="00812912"/>
    <w:rsid w:val="00812DDB"/>
    <w:rsid w:val="00812DE2"/>
    <w:rsid w:val="00813C06"/>
    <w:rsid w:val="00814F23"/>
    <w:rsid w:val="00815C7F"/>
    <w:rsid w:val="0081633D"/>
    <w:rsid w:val="0081659A"/>
    <w:rsid w:val="00820525"/>
    <w:rsid w:val="008222A4"/>
    <w:rsid w:val="00822871"/>
    <w:rsid w:val="00825C08"/>
    <w:rsid w:val="00825F89"/>
    <w:rsid w:val="00826AFE"/>
    <w:rsid w:val="0082706F"/>
    <w:rsid w:val="008403A3"/>
    <w:rsid w:val="00840920"/>
    <w:rsid w:val="008410A1"/>
    <w:rsid w:val="008425F3"/>
    <w:rsid w:val="00844862"/>
    <w:rsid w:val="008503B0"/>
    <w:rsid w:val="008503C1"/>
    <w:rsid w:val="00850C5A"/>
    <w:rsid w:val="00851402"/>
    <w:rsid w:val="00851BBB"/>
    <w:rsid w:val="00853E01"/>
    <w:rsid w:val="00854323"/>
    <w:rsid w:val="0085433C"/>
    <w:rsid w:val="0085628C"/>
    <w:rsid w:val="008579DB"/>
    <w:rsid w:val="00857B83"/>
    <w:rsid w:val="00857CE2"/>
    <w:rsid w:val="008609A6"/>
    <w:rsid w:val="0086322A"/>
    <w:rsid w:val="0087294D"/>
    <w:rsid w:val="00872BDB"/>
    <w:rsid w:val="00874F19"/>
    <w:rsid w:val="00876828"/>
    <w:rsid w:val="008779F9"/>
    <w:rsid w:val="00881044"/>
    <w:rsid w:val="00883685"/>
    <w:rsid w:val="00884058"/>
    <w:rsid w:val="008853B6"/>
    <w:rsid w:val="0089321B"/>
    <w:rsid w:val="00893371"/>
    <w:rsid w:val="00893474"/>
    <w:rsid w:val="00893C3A"/>
    <w:rsid w:val="00894692"/>
    <w:rsid w:val="00896309"/>
    <w:rsid w:val="008A23D5"/>
    <w:rsid w:val="008A4619"/>
    <w:rsid w:val="008A57AA"/>
    <w:rsid w:val="008A5CEB"/>
    <w:rsid w:val="008B0A57"/>
    <w:rsid w:val="008B14FC"/>
    <w:rsid w:val="008B237D"/>
    <w:rsid w:val="008B731F"/>
    <w:rsid w:val="008C3BDC"/>
    <w:rsid w:val="008C4C2A"/>
    <w:rsid w:val="008C56C8"/>
    <w:rsid w:val="008C6A74"/>
    <w:rsid w:val="008C76BE"/>
    <w:rsid w:val="008D0207"/>
    <w:rsid w:val="008D3BBA"/>
    <w:rsid w:val="008D44D8"/>
    <w:rsid w:val="008D47BA"/>
    <w:rsid w:val="008D4F72"/>
    <w:rsid w:val="008D54E4"/>
    <w:rsid w:val="008D62B5"/>
    <w:rsid w:val="008D6BFF"/>
    <w:rsid w:val="008D7CD3"/>
    <w:rsid w:val="008E1BCB"/>
    <w:rsid w:val="008E1EE7"/>
    <w:rsid w:val="008E203C"/>
    <w:rsid w:val="008E2BEE"/>
    <w:rsid w:val="008E2FCB"/>
    <w:rsid w:val="008E5613"/>
    <w:rsid w:val="008E7AEE"/>
    <w:rsid w:val="008F31F0"/>
    <w:rsid w:val="00900705"/>
    <w:rsid w:val="00900915"/>
    <w:rsid w:val="00900B90"/>
    <w:rsid w:val="0090347F"/>
    <w:rsid w:val="00903530"/>
    <w:rsid w:val="0090364F"/>
    <w:rsid w:val="00903D99"/>
    <w:rsid w:val="00903E69"/>
    <w:rsid w:val="009102CB"/>
    <w:rsid w:val="009107F1"/>
    <w:rsid w:val="00913C4C"/>
    <w:rsid w:val="00914A0A"/>
    <w:rsid w:val="00916F01"/>
    <w:rsid w:val="00917ACD"/>
    <w:rsid w:val="00923324"/>
    <w:rsid w:val="0092552C"/>
    <w:rsid w:val="00930392"/>
    <w:rsid w:val="00933C9F"/>
    <w:rsid w:val="0093585E"/>
    <w:rsid w:val="00936C6B"/>
    <w:rsid w:val="00937D68"/>
    <w:rsid w:val="00940715"/>
    <w:rsid w:val="00941B2A"/>
    <w:rsid w:val="0094335A"/>
    <w:rsid w:val="009464B4"/>
    <w:rsid w:val="00950417"/>
    <w:rsid w:val="00951137"/>
    <w:rsid w:val="00953502"/>
    <w:rsid w:val="00954994"/>
    <w:rsid w:val="0095503D"/>
    <w:rsid w:val="00966FEF"/>
    <w:rsid w:val="0097166E"/>
    <w:rsid w:val="00975E31"/>
    <w:rsid w:val="00977752"/>
    <w:rsid w:val="009801DA"/>
    <w:rsid w:val="00980832"/>
    <w:rsid w:val="00981CCB"/>
    <w:rsid w:val="00984AF8"/>
    <w:rsid w:val="00987F0A"/>
    <w:rsid w:val="009905A5"/>
    <w:rsid w:val="009905FE"/>
    <w:rsid w:val="00995146"/>
    <w:rsid w:val="009951F9"/>
    <w:rsid w:val="009969DB"/>
    <w:rsid w:val="009A009D"/>
    <w:rsid w:val="009A1C5D"/>
    <w:rsid w:val="009A377F"/>
    <w:rsid w:val="009A3E65"/>
    <w:rsid w:val="009B01CC"/>
    <w:rsid w:val="009B0223"/>
    <w:rsid w:val="009B2F43"/>
    <w:rsid w:val="009B3ED6"/>
    <w:rsid w:val="009B5B7B"/>
    <w:rsid w:val="009B608A"/>
    <w:rsid w:val="009B6742"/>
    <w:rsid w:val="009C10E6"/>
    <w:rsid w:val="009C1C0C"/>
    <w:rsid w:val="009C1C9B"/>
    <w:rsid w:val="009C6140"/>
    <w:rsid w:val="009C78E2"/>
    <w:rsid w:val="009D22AB"/>
    <w:rsid w:val="009D3C25"/>
    <w:rsid w:val="009D3C91"/>
    <w:rsid w:val="009D6F13"/>
    <w:rsid w:val="009E090B"/>
    <w:rsid w:val="009E19C4"/>
    <w:rsid w:val="009E46A4"/>
    <w:rsid w:val="009E5388"/>
    <w:rsid w:val="009E5F14"/>
    <w:rsid w:val="009F319E"/>
    <w:rsid w:val="009F3C93"/>
    <w:rsid w:val="00A01EE6"/>
    <w:rsid w:val="00A0309B"/>
    <w:rsid w:val="00A051B2"/>
    <w:rsid w:val="00A06150"/>
    <w:rsid w:val="00A06CD8"/>
    <w:rsid w:val="00A10396"/>
    <w:rsid w:val="00A12864"/>
    <w:rsid w:val="00A128BE"/>
    <w:rsid w:val="00A15D94"/>
    <w:rsid w:val="00A17659"/>
    <w:rsid w:val="00A21A70"/>
    <w:rsid w:val="00A23B3B"/>
    <w:rsid w:val="00A23CFD"/>
    <w:rsid w:val="00A23DC9"/>
    <w:rsid w:val="00A24F37"/>
    <w:rsid w:val="00A2537E"/>
    <w:rsid w:val="00A25534"/>
    <w:rsid w:val="00A2598D"/>
    <w:rsid w:val="00A25EBA"/>
    <w:rsid w:val="00A279CF"/>
    <w:rsid w:val="00A27BE5"/>
    <w:rsid w:val="00A27E9F"/>
    <w:rsid w:val="00A301F2"/>
    <w:rsid w:val="00A33F11"/>
    <w:rsid w:val="00A34304"/>
    <w:rsid w:val="00A35B81"/>
    <w:rsid w:val="00A36442"/>
    <w:rsid w:val="00A36BC4"/>
    <w:rsid w:val="00A40501"/>
    <w:rsid w:val="00A43838"/>
    <w:rsid w:val="00A44FFB"/>
    <w:rsid w:val="00A4563C"/>
    <w:rsid w:val="00A47693"/>
    <w:rsid w:val="00A478DC"/>
    <w:rsid w:val="00A50814"/>
    <w:rsid w:val="00A51528"/>
    <w:rsid w:val="00A52A34"/>
    <w:rsid w:val="00A536F0"/>
    <w:rsid w:val="00A57106"/>
    <w:rsid w:val="00A57500"/>
    <w:rsid w:val="00A5784F"/>
    <w:rsid w:val="00A6276B"/>
    <w:rsid w:val="00A630C7"/>
    <w:rsid w:val="00A63B14"/>
    <w:rsid w:val="00A65438"/>
    <w:rsid w:val="00A65E57"/>
    <w:rsid w:val="00A70959"/>
    <w:rsid w:val="00A73F62"/>
    <w:rsid w:val="00A74664"/>
    <w:rsid w:val="00A8017F"/>
    <w:rsid w:val="00A8023E"/>
    <w:rsid w:val="00A809C6"/>
    <w:rsid w:val="00A84100"/>
    <w:rsid w:val="00A907EF"/>
    <w:rsid w:val="00A91924"/>
    <w:rsid w:val="00A924F6"/>
    <w:rsid w:val="00A92656"/>
    <w:rsid w:val="00A92B5C"/>
    <w:rsid w:val="00A947B6"/>
    <w:rsid w:val="00AA19C5"/>
    <w:rsid w:val="00AA1B01"/>
    <w:rsid w:val="00AA57A3"/>
    <w:rsid w:val="00AB2209"/>
    <w:rsid w:val="00AB2865"/>
    <w:rsid w:val="00AB397E"/>
    <w:rsid w:val="00AB3B9C"/>
    <w:rsid w:val="00AB4FBF"/>
    <w:rsid w:val="00AB5555"/>
    <w:rsid w:val="00AB78C3"/>
    <w:rsid w:val="00AC3EE6"/>
    <w:rsid w:val="00AC48BF"/>
    <w:rsid w:val="00AC583A"/>
    <w:rsid w:val="00AD04B8"/>
    <w:rsid w:val="00AD0627"/>
    <w:rsid w:val="00AD3FCF"/>
    <w:rsid w:val="00AD6A72"/>
    <w:rsid w:val="00AE2659"/>
    <w:rsid w:val="00AE39D7"/>
    <w:rsid w:val="00AE5C70"/>
    <w:rsid w:val="00AE7F13"/>
    <w:rsid w:val="00AF04D3"/>
    <w:rsid w:val="00AF3598"/>
    <w:rsid w:val="00AF3C74"/>
    <w:rsid w:val="00AF48F7"/>
    <w:rsid w:val="00AF55C6"/>
    <w:rsid w:val="00AF6DF4"/>
    <w:rsid w:val="00B0087B"/>
    <w:rsid w:val="00B022CC"/>
    <w:rsid w:val="00B02615"/>
    <w:rsid w:val="00B0740C"/>
    <w:rsid w:val="00B076D8"/>
    <w:rsid w:val="00B10708"/>
    <w:rsid w:val="00B10CD8"/>
    <w:rsid w:val="00B1147C"/>
    <w:rsid w:val="00B12CB1"/>
    <w:rsid w:val="00B1464F"/>
    <w:rsid w:val="00B22ADD"/>
    <w:rsid w:val="00B258AD"/>
    <w:rsid w:val="00B25B78"/>
    <w:rsid w:val="00B25F20"/>
    <w:rsid w:val="00B27E1D"/>
    <w:rsid w:val="00B308B4"/>
    <w:rsid w:val="00B32AE7"/>
    <w:rsid w:val="00B334B2"/>
    <w:rsid w:val="00B33D2C"/>
    <w:rsid w:val="00B347AD"/>
    <w:rsid w:val="00B41D3C"/>
    <w:rsid w:val="00B43616"/>
    <w:rsid w:val="00B4765A"/>
    <w:rsid w:val="00B5062F"/>
    <w:rsid w:val="00B52E7A"/>
    <w:rsid w:val="00B55176"/>
    <w:rsid w:val="00B60060"/>
    <w:rsid w:val="00B60353"/>
    <w:rsid w:val="00B61026"/>
    <w:rsid w:val="00B61315"/>
    <w:rsid w:val="00B635F0"/>
    <w:rsid w:val="00B6561A"/>
    <w:rsid w:val="00B66082"/>
    <w:rsid w:val="00B706E9"/>
    <w:rsid w:val="00B70AF1"/>
    <w:rsid w:val="00B7237A"/>
    <w:rsid w:val="00B740BA"/>
    <w:rsid w:val="00B74DD0"/>
    <w:rsid w:val="00B76B94"/>
    <w:rsid w:val="00B80BCE"/>
    <w:rsid w:val="00B841A3"/>
    <w:rsid w:val="00B850B1"/>
    <w:rsid w:val="00B9193C"/>
    <w:rsid w:val="00B95176"/>
    <w:rsid w:val="00B96452"/>
    <w:rsid w:val="00B969EB"/>
    <w:rsid w:val="00BA0345"/>
    <w:rsid w:val="00BA237A"/>
    <w:rsid w:val="00BA329B"/>
    <w:rsid w:val="00BA5BF4"/>
    <w:rsid w:val="00BA6844"/>
    <w:rsid w:val="00BA71BF"/>
    <w:rsid w:val="00BA7472"/>
    <w:rsid w:val="00BA7C4F"/>
    <w:rsid w:val="00BB1238"/>
    <w:rsid w:val="00BB1F78"/>
    <w:rsid w:val="00BB31E3"/>
    <w:rsid w:val="00BB5C6A"/>
    <w:rsid w:val="00BC1B1C"/>
    <w:rsid w:val="00BC3083"/>
    <w:rsid w:val="00BC3B27"/>
    <w:rsid w:val="00BC4955"/>
    <w:rsid w:val="00BC567A"/>
    <w:rsid w:val="00BC64F2"/>
    <w:rsid w:val="00BD7D5A"/>
    <w:rsid w:val="00BE4E7D"/>
    <w:rsid w:val="00BE5549"/>
    <w:rsid w:val="00BE5D51"/>
    <w:rsid w:val="00BE71B2"/>
    <w:rsid w:val="00BE77CB"/>
    <w:rsid w:val="00BF12E3"/>
    <w:rsid w:val="00BF135B"/>
    <w:rsid w:val="00BF2F43"/>
    <w:rsid w:val="00BF47AA"/>
    <w:rsid w:val="00BF47D6"/>
    <w:rsid w:val="00BF5CCA"/>
    <w:rsid w:val="00BF667B"/>
    <w:rsid w:val="00BF710E"/>
    <w:rsid w:val="00BF76AE"/>
    <w:rsid w:val="00C00C16"/>
    <w:rsid w:val="00C03A93"/>
    <w:rsid w:val="00C05106"/>
    <w:rsid w:val="00C05DD6"/>
    <w:rsid w:val="00C064DF"/>
    <w:rsid w:val="00C06F0A"/>
    <w:rsid w:val="00C0726D"/>
    <w:rsid w:val="00C07DE2"/>
    <w:rsid w:val="00C105CC"/>
    <w:rsid w:val="00C105E9"/>
    <w:rsid w:val="00C223D4"/>
    <w:rsid w:val="00C23C18"/>
    <w:rsid w:val="00C2490D"/>
    <w:rsid w:val="00C3105C"/>
    <w:rsid w:val="00C3192F"/>
    <w:rsid w:val="00C33805"/>
    <w:rsid w:val="00C34D84"/>
    <w:rsid w:val="00C35904"/>
    <w:rsid w:val="00C367E2"/>
    <w:rsid w:val="00C36D87"/>
    <w:rsid w:val="00C37498"/>
    <w:rsid w:val="00C40770"/>
    <w:rsid w:val="00C412FC"/>
    <w:rsid w:val="00C42241"/>
    <w:rsid w:val="00C42B67"/>
    <w:rsid w:val="00C4448E"/>
    <w:rsid w:val="00C469F5"/>
    <w:rsid w:val="00C474E3"/>
    <w:rsid w:val="00C505C0"/>
    <w:rsid w:val="00C51162"/>
    <w:rsid w:val="00C55AC7"/>
    <w:rsid w:val="00C56356"/>
    <w:rsid w:val="00C61CA5"/>
    <w:rsid w:val="00C61E2C"/>
    <w:rsid w:val="00C61E60"/>
    <w:rsid w:val="00C623BE"/>
    <w:rsid w:val="00C623D2"/>
    <w:rsid w:val="00C6378A"/>
    <w:rsid w:val="00C646D6"/>
    <w:rsid w:val="00C65217"/>
    <w:rsid w:val="00C655BF"/>
    <w:rsid w:val="00C67416"/>
    <w:rsid w:val="00C74D36"/>
    <w:rsid w:val="00C807AB"/>
    <w:rsid w:val="00C821F6"/>
    <w:rsid w:val="00C83177"/>
    <w:rsid w:val="00C87245"/>
    <w:rsid w:val="00C87714"/>
    <w:rsid w:val="00C90B5F"/>
    <w:rsid w:val="00C9102B"/>
    <w:rsid w:val="00C91A26"/>
    <w:rsid w:val="00C97966"/>
    <w:rsid w:val="00CA1274"/>
    <w:rsid w:val="00CA2B06"/>
    <w:rsid w:val="00CA2B4A"/>
    <w:rsid w:val="00CA2C8E"/>
    <w:rsid w:val="00CA610D"/>
    <w:rsid w:val="00CB042F"/>
    <w:rsid w:val="00CB29EC"/>
    <w:rsid w:val="00CB4E1E"/>
    <w:rsid w:val="00CB5E69"/>
    <w:rsid w:val="00CB61ED"/>
    <w:rsid w:val="00CB6490"/>
    <w:rsid w:val="00CB7385"/>
    <w:rsid w:val="00CB7EE1"/>
    <w:rsid w:val="00CC0C3A"/>
    <w:rsid w:val="00CC1A36"/>
    <w:rsid w:val="00CC1D9C"/>
    <w:rsid w:val="00CC2413"/>
    <w:rsid w:val="00CC29A9"/>
    <w:rsid w:val="00CC5D47"/>
    <w:rsid w:val="00CC6F42"/>
    <w:rsid w:val="00CD0629"/>
    <w:rsid w:val="00CD1F72"/>
    <w:rsid w:val="00CD22FF"/>
    <w:rsid w:val="00CD25C5"/>
    <w:rsid w:val="00CD54BD"/>
    <w:rsid w:val="00CD5744"/>
    <w:rsid w:val="00CD5AC4"/>
    <w:rsid w:val="00CD5BA4"/>
    <w:rsid w:val="00CD7A35"/>
    <w:rsid w:val="00CD7B43"/>
    <w:rsid w:val="00CE209F"/>
    <w:rsid w:val="00CE313D"/>
    <w:rsid w:val="00CE536D"/>
    <w:rsid w:val="00CE6258"/>
    <w:rsid w:val="00CE78B1"/>
    <w:rsid w:val="00CE7EAA"/>
    <w:rsid w:val="00CF3027"/>
    <w:rsid w:val="00CF32DF"/>
    <w:rsid w:val="00CF4008"/>
    <w:rsid w:val="00CF4A5D"/>
    <w:rsid w:val="00CF5155"/>
    <w:rsid w:val="00CF7669"/>
    <w:rsid w:val="00D011B9"/>
    <w:rsid w:val="00D01B8C"/>
    <w:rsid w:val="00D050E5"/>
    <w:rsid w:val="00D07AB4"/>
    <w:rsid w:val="00D13A0F"/>
    <w:rsid w:val="00D17AD5"/>
    <w:rsid w:val="00D17EFB"/>
    <w:rsid w:val="00D20118"/>
    <w:rsid w:val="00D202A1"/>
    <w:rsid w:val="00D20370"/>
    <w:rsid w:val="00D214E8"/>
    <w:rsid w:val="00D21AF0"/>
    <w:rsid w:val="00D227A0"/>
    <w:rsid w:val="00D22FE6"/>
    <w:rsid w:val="00D24DCB"/>
    <w:rsid w:val="00D25B53"/>
    <w:rsid w:val="00D2644E"/>
    <w:rsid w:val="00D30876"/>
    <w:rsid w:val="00D33078"/>
    <w:rsid w:val="00D34162"/>
    <w:rsid w:val="00D359A8"/>
    <w:rsid w:val="00D36B53"/>
    <w:rsid w:val="00D371B4"/>
    <w:rsid w:val="00D40F6F"/>
    <w:rsid w:val="00D426AC"/>
    <w:rsid w:val="00D42F3C"/>
    <w:rsid w:val="00D44B88"/>
    <w:rsid w:val="00D4693C"/>
    <w:rsid w:val="00D46CB6"/>
    <w:rsid w:val="00D47798"/>
    <w:rsid w:val="00D50285"/>
    <w:rsid w:val="00D50924"/>
    <w:rsid w:val="00D5122D"/>
    <w:rsid w:val="00D51DB4"/>
    <w:rsid w:val="00D55344"/>
    <w:rsid w:val="00D56B06"/>
    <w:rsid w:val="00D5763A"/>
    <w:rsid w:val="00D62723"/>
    <w:rsid w:val="00D62876"/>
    <w:rsid w:val="00D643F0"/>
    <w:rsid w:val="00D650CA"/>
    <w:rsid w:val="00D66B4E"/>
    <w:rsid w:val="00D67DEA"/>
    <w:rsid w:val="00D720CC"/>
    <w:rsid w:val="00D72318"/>
    <w:rsid w:val="00D72752"/>
    <w:rsid w:val="00D735FC"/>
    <w:rsid w:val="00D74151"/>
    <w:rsid w:val="00D745F7"/>
    <w:rsid w:val="00D766EF"/>
    <w:rsid w:val="00D7759C"/>
    <w:rsid w:val="00D8050B"/>
    <w:rsid w:val="00D80936"/>
    <w:rsid w:val="00D809C2"/>
    <w:rsid w:val="00D80E7E"/>
    <w:rsid w:val="00D81782"/>
    <w:rsid w:val="00D847CA"/>
    <w:rsid w:val="00D84BF2"/>
    <w:rsid w:val="00D91675"/>
    <w:rsid w:val="00D92CCF"/>
    <w:rsid w:val="00D941DC"/>
    <w:rsid w:val="00D96E78"/>
    <w:rsid w:val="00D97246"/>
    <w:rsid w:val="00DA13A7"/>
    <w:rsid w:val="00DA1A92"/>
    <w:rsid w:val="00DA2A88"/>
    <w:rsid w:val="00DA3BC8"/>
    <w:rsid w:val="00DA4DAF"/>
    <w:rsid w:val="00DA54DE"/>
    <w:rsid w:val="00DA5C77"/>
    <w:rsid w:val="00DA5E7C"/>
    <w:rsid w:val="00DA6BF3"/>
    <w:rsid w:val="00DB05EB"/>
    <w:rsid w:val="00DB29FF"/>
    <w:rsid w:val="00DB3C98"/>
    <w:rsid w:val="00DB4315"/>
    <w:rsid w:val="00DB5A5B"/>
    <w:rsid w:val="00DC0005"/>
    <w:rsid w:val="00DC11AE"/>
    <w:rsid w:val="00DC2860"/>
    <w:rsid w:val="00DC28EA"/>
    <w:rsid w:val="00DC53B4"/>
    <w:rsid w:val="00DC6DBE"/>
    <w:rsid w:val="00DC7159"/>
    <w:rsid w:val="00DC72CC"/>
    <w:rsid w:val="00DC7434"/>
    <w:rsid w:val="00DC7538"/>
    <w:rsid w:val="00DC756F"/>
    <w:rsid w:val="00DC7AE7"/>
    <w:rsid w:val="00DD13CC"/>
    <w:rsid w:val="00DD1CD9"/>
    <w:rsid w:val="00DD24AE"/>
    <w:rsid w:val="00DD363B"/>
    <w:rsid w:val="00DD640C"/>
    <w:rsid w:val="00DD7748"/>
    <w:rsid w:val="00DE04C4"/>
    <w:rsid w:val="00DE2675"/>
    <w:rsid w:val="00DE41E6"/>
    <w:rsid w:val="00DE5421"/>
    <w:rsid w:val="00DE5681"/>
    <w:rsid w:val="00DE68BC"/>
    <w:rsid w:val="00DF117A"/>
    <w:rsid w:val="00DF55F7"/>
    <w:rsid w:val="00DF6AEC"/>
    <w:rsid w:val="00DF6C48"/>
    <w:rsid w:val="00DF744C"/>
    <w:rsid w:val="00E01642"/>
    <w:rsid w:val="00E04B15"/>
    <w:rsid w:val="00E0548A"/>
    <w:rsid w:val="00E06054"/>
    <w:rsid w:val="00E13622"/>
    <w:rsid w:val="00E16486"/>
    <w:rsid w:val="00E175A1"/>
    <w:rsid w:val="00E24220"/>
    <w:rsid w:val="00E26909"/>
    <w:rsid w:val="00E275F6"/>
    <w:rsid w:val="00E30F6C"/>
    <w:rsid w:val="00E31B39"/>
    <w:rsid w:val="00E3229C"/>
    <w:rsid w:val="00E3422E"/>
    <w:rsid w:val="00E34652"/>
    <w:rsid w:val="00E355DE"/>
    <w:rsid w:val="00E35859"/>
    <w:rsid w:val="00E35F65"/>
    <w:rsid w:val="00E37303"/>
    <w:rsid w:val="00E40789"/>
    <w:rsid w:val="00E40C0C"/>
    <w:rsid w:val="00E432DA"/>
    <w:rsid w:val="00E43F2E"/>
    <w:rsid w:val="00E4401E"/>
    <w:rsid w:val="00E4791C"/>
    <w:rsid w:val="00E50774"/>
    <w:rsid w:val="00E51576"/>
    <w:rsid w:val="00E51A31"/>
    <w:rsid w:val="00E52029"/>
    <w:rsid w:val="00E52D90"/>
    <w:rsid w:val="00E5332C"/>
    <w:rsid w:val="00E5411A"/>
    <w:rsid w:val="00E54C2A"/>
    <w:rsid w:val="00E56E48"/>
    <w:rsid w:val="00E57AFD"/>
    <w:rsid w:val="00E61096"/>
    <w:rsid w:val="00E61289"/>
    <w:rsid w:val="00E618CE"/>
    <w:rsid w:val="00E651B7"/>
    <w:rsid w:val="00E67F31"/>
    <w:rsid w:val="00E710AD"/>
    <w:rsid w:val="00E7300C"/>
    <w:rsid w:val="00E75F98"/>
    <w:rsid w:val="00E76536"/>
    <w:rsid w:val="00E76C9A"/>
    <w:rsid w:val="00E7701F"/>
    <w:rsid w:val="00E80A92"/>
    <w:rsid w:val="00E80C96"/>
    <w:rsid w:val="00E80F4A"/>
    <w:rsid w:val="00E80FA8"/>
    <w:rsid w:val="00E83158"/>
    <w:rsid w:val="00E83353"/>
    <w:rsid w:val="00E840C1"/>
    <w:rsid w:val="00E85C52"/>
    <w:rsid w:val="00E8731C"/>
    <w:rsid w:val="00E9084A"/>
    <w:rsid w:val="00E90C9A"/>
    <w:rsid w:val="00E93D80"/>
    <w:rsid w:val="00E948B9"/>
    <w:rsid w:val="00EA01F8"/>
    <w:rsid w:val="00EA0AEE"/>
    <w:rsid w:val="00EA142F"/>
    <w:rsid w:val="00EA2A46"/>
    <w:rsid w:val="00EA43BC"/>
    <w:rsid w:val="00EB1C14"/>
    <w:rsid w:val="00EB296F"/>
    <w:rsid w:val="00EB3386"/>
    <w:rsid w:val="00EB4B41"/>
    <w:rsid w:val="00EB6294"/>
    <w:rsid w:val="00EB6956"/>
    <w:rsid w:val="00EB750A"/>
    <w:rsid w:val="00EC1398"/>
    <w:rsid w:val="00EC334C"/>
    <w:rsid w:val="00EC6DCE"/>
    <w:rsid w:val="00EC73D6"/>
    <w:rsid w:val="00EC799B"/>
    <w:rsid w:val="00EC7D17"/>
    <w:rsid w:val="00ED39B6"/>
    <w:rsid w:val="00ED6BA8"/>
    <w:rsid w:val="00EE2475"/>
    <w:rsid w:val="00EE3848"/>
    <w:rsid w:val="00EE40E2"/>
    <w:rsid w:val="00EE4458"/>
    <w:rsid w:val="00EE6220"/>
    <w:rsid w:val="00EE6C21"/>
    <w:rsid w:val="00EE74FE"/>
    <w:rsid w:val="00EE77AD"/>
    <w:rsid w:val="00EF2CEB"/>
    <w:rsid w:val="00EF505C"/>
    <w:rsid w:val="00EF5497"/>
    <w:rsid w:val="00EF6368"/>
    <w:rsid w:val="00F02A99"/>
    <w:rsid w:val="00F02DF6"/>
    <w:rsid w:val="00F03056"/>
    <w:rsid w:val="00F03226"/>
    <w:rsid w:val="00F037EC"/>
    <w:rsid w:val="00F038A5"/>
    <w:rsid w:val="00F04101"/>
    <w:rsid w:val="00F04EF2"/>
    <w:rsid w:val="00F10693"/>
    <w:rsid w:val="00F13AEE"/>
    <w:rsid w:val="00F14FF6"/>
    <w:rsid w:val="00F1549D"/>
    <w:rsid w:val="00F163A0"/>
    <w:rsid w:val="00F20081"/>
    <w:rsid w:val="00F20FF8"/>
    <w:rsid w:val="00F22E23"/>
    <w:rsid w:val="00F237B9"/>
    <w:rsid w:val="00F24941"/>
    <w:rsid w:val="00F25063"/>
    <w:rsid w:val="00F262B5"/>
    <w:rsid w:val="00F362C6"/>
    <w:rsid w:val="00F36978"/>
    <w:rsid w:val="00F373BB"/>
    <w:rsid w:val="00F4066F"/>
    <w:rsid w:val="00F40931"/>
    <w:rsid w:val="00F460E1"/>
    <w:rsid w:val="00F50504"/>
    <w:rsid w:val="00F50BDB"/>
    <w:rsid w:val="00F60F66"/>
    <w:rsid w:val="00F61D63"/>
    <w:rsid w:val="00F64AD3"/>
    <w:rsid w:val="00F6552D"/>
    <w:rsid w:val="00F7047E"/>
    <w:rsid w:val="00F717A1"/>
    <w:rsid w:val="00F72122"/>
    <w:rsid w:val="00F741BE"/>
    <w:rsid w:val="00F77EFE"/>
    <w:rsid w:val="00F820B9"/>
    <w:rsid w:val="00F8239A"/>
    <w:rsid w:val="00F82C5D"/>
    <w:rsid w:val="00F845C9"/>
    <w:rsid w:val="00F84757"/>
    <w:rsid w:val="00F8618C"/>
    <w:rsid w:val="00F91E7A"/>
    <w:rsid w:val="00F9393A"/>
    <w:rsid w:val="00F96C9E"/>
    <w:rsid w:val="00FA1380"/>
    <w:rsid w:val="00FA207D"/>
    <w:rsid w:val="00FA274E"/>
    <w:rsid w:val="00FA294D"/>
    <w:rsid w:val="00FA2AC0"/>
    <w:rsid w:val="00FA7347"/>
    <w:rsid w:val="00FA778A"/>
    <w:rsid w:val="00FA78DC"/>
    <w:rsid w:val="00FB011C"/>
    <w:rsid w:val="00FB0A70"/>
    <w:rsid w:val="00FB10CB"/>
    <w:rsid w:val="00FB31E1"/>
    <w:rsid w:val="00FB6042"/>
    <w:rsid w:val="00FB7AEE"/>
    <w:rsid w:val="00FC6E7B"/>
    <w:rsid w:val="00FC7E80"/>
    <w:rsid w:val="00FD1B7D"/>
    <w:rsid w:val="00FD39F9"/>
    <w:rsid w:val="00FD4412"/>
    <w:rsid w:val="00FD486A"/>
    <w:rsid w:val="00FD6672"/>
    <w:rsid w:val="00FD7A71"/>
    <w:rsid w:val="00FE147A"/>
    <w:rsid w:val="00FE148F"/>
    <w:rsid w:val="00FE2025"/>
    <w:rsid w:val="00FE6A0B"/>
    <w:rsid w:val="00FF2627"/>
    <w:rsid w:val="00FF3D4D"/>
    <w:rsid w:val="00FF556A"/>
    <w:rsid w:val="00FF5929"/>
    <w:rsid w:val="00FF5C3B"/>
    <w:rsid w:val="00FF5C8A"/>
    <w:rsid w:val="00FF6397"/>
    <w:rsid w:val="041C593E"/>
    <w:rsid w:val="045A5BD2"/>
    <w:rsid w:val="05852C65"/>
    <w:rsid w:val="06420509"/>
    <w:rsid w:val="07B83E42"/>
    <w:rsid w:val="169F44C4"/>
    <w:rsid w:val="179902A1"/>
    <w:rsid w:val="19892192"/>
    <w:rsid w:val="1F705F22"/>
    <w:rsid w:val="1FCC4ABA"/>
    <w:rsid w:val="20082E42"/>
    <w:rsid w:val="2CA115E6"/>
    <w:rsid w:val="30010F40"/>
    <w:rsid w:val="3B06529D"/>
    <w:rsid w:val="455C7F8B"/>
    <w:rsid w:val="455D15FB"/>
    <w:rsid w:val="467606D7"/>
    <w:rsid w:val="4D5D668C"/>
    <w:rsid w:val="4F755B23"/>
    <w:rsid w:val="54827854"/>
    <w:rsid w:val="58E46B04"/>
    <w:rsid w:val="58E62007"/>
    <w:rsid w:val="591376AC"/>
    <w:rsid w:val="5B5E7DA6"/>
    <w:rsid w:val="61161B86"/>
    <w:rsid w:val="61F811B4"/>
    <w:rsid w:val="69425D5F"/>
    <w:rsid w:val="6DBC4548"/>
    <w:rsid w:val="7F4F6FC8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name="Body Text 2"/>
    <w:lsdException w:uiPriority="99" w:name="Body Text 3"/>
    <w:lsdException w:qFormat="1" w:uiPriority="99" w:semiHidden="0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link w:val="45"/>
    <w:qFormat/>
    <w:uiPriority w:val="0"/>
    <w:pPr>
      <w:keepNext/>
      <w:jc w:val="both"/>
      <w:outlineLvl w:val="0"/>
    </w:pPr>
    <w:rPr>
      <w:b/>
      <w:sz w:val="28"/>
      <w:szCs w:val="20"/>
    </w:rPr>
  </w:style>
  <w:style w:type="paragraph" w:styleId="3">
    <w:name w:val="heading 2"/>
    <w:basedOn w:val="1"/>
    <w:next w:val="1"/>
    <w:link w:val="65"/>
    <w:qFormat/>
    <w:uiPriority w:val="0"/>
    <w:pPr>
      <w:keepNext/>
      <w:outlineLvl w:val="1"/>
    </w:pPr>
    <w:rPr>
      <w:b/>
      <w:color w:val="000000"/>
      <w:sz w:val="28"/>
      <w:szCs w:val="20"/>
    </w:rPr>
  </w:style>
  <w:style w:type="paragraph" w:styleId="4">
    <w:name w:val="heading 3"/>
    <w:basedOn w:val="1"/>
    <w:next w:val="1"/>
    <w:link w:val="61"/>
    <w:qFormat/>
    <w:uiPriority w:val="0"/>
    <w:pPr>
      <w:keepNext/>
      <w:ind w:right="-58"/>
      <w:jc w:val="center"/>
      <w:outlineLvl w:val="2"/>
    </w:pPr>
    <w:rPr>
      <w:b/>
      <w:sz w:val="32"/>
      <w:szCs w:val="20"/>
    </w:rPr>
  </w:style>
  <w:style w:type="paragraph" w:styleId="5">
    <w:name w:val="heading 4"/>
    <w:basedOn w:val="1"/>
    <w:next w:val="1"/>
    <w:link w:val="60"/>
    <w:qFormat/>
    <w:uiPriority w:val="0"/>
    <w:pPr>
      <w:keepNext/>
      <w:jc w:val="center"/>
      <w:outlineLvl w:val="3"/>
    </w:pPr>
    <w:rPr>
      <w:b/>
      <w:color w:val="000000"/>
      <w:sz w:val="32"/>
      <w:szCs w:val="20"/>
    </w:rPr>
  </w:style>
  <w:style w:type="paragraph" w:styleId="6">
    <w:name w:val="heading 5"/>
    <w:basedOn w:val="1"/>
    <w:next w:val="1"/>
    <w:link w:val="48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3"/>
    <w:qFormat/>
    <w:uiPriority w:val="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7"/>
    <w:basedOn w:val="9"/>
    <w:next w:val="9"/>
    <w:link w:val="54"/>
    <w:qFormat/>
    <w:uiPriority w:val="0"/>
    <w:pPr>
      <w:keepNext/>
      <w:jc w:val="center"/>
      <w:outlineLvl w:val="6"/>
    </w:pPr>
    <w:rPr>
      <w:b/>
      <w:sz w:val="28"/>
      <w:lang w:val="uk-UA"/>
    </w:rPr>
  </w:style>
  <w:style w:type="paragraph" w:styleId="10">
    <w:name w:val="heading 8"/>
    <w:basedOn w:val="1"/>
    <w:next w:val="1"/>
    <w:link w:val="53"/>
    <w:qFormat/>
    <w:uiPriority w:val="0"/>
    <w:pPr>
      <w:keepNext/>
      <w:jc w:val="center"/>
      <w:outlineLvl w:val="7"/>
    </w:pPr>
    <w:rPr>
      <w:b/>
      <w:sz w:val="18"/>
    </w:rPr>
  </w:style>
  <w:style w:type="paragraph" w:styleId="11">
    <w:name w:val="heading 9"/>
    <w:basedOn w:val="1"/>
    <w:next w:val="1"/>
    <w:link w:val="57"/>
    <w:qFormat/>
    <w:uiPriority w:val="0"/>
    <w:pPr>
      <w:keepNext/>
      <w:outlineLvl w:val="8"/>
    </w:pPr>
    <w:rPr>
      <w:b/>
      <w:sz w:val="20"/>
      <w:szCs w:val="20"/>
    </w:rPr>
  </w:style>
  <w:style w:type="character" w:default="1" w:styleId="22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Обычный1"/>
    <w:qFormat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styleId="1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3">
    <w:name w:val="Block Text"/>
    <w:basedOn w:val="1"/>
    <w:semiHidden/>
    <w:qFormat/>
    <w:uiPriority w:val="0"/>
    <w:pPr>
      <w:ind w:left="4320" w:right="-483"/>
    </w:pPr>
    <w:rPr>
      <w:sz w:val="28"/>
      <w:szCs w:val="20"/>
    </w:rPr>
  </w:style>
  <w:style w:type="paragraph" w:styleId="14">
    <w:name w:val="Body Text"/>
    <w:basedOn w:val="1"/>
    <w:link w:val="59"/>
    <w:unhideWhenUsed/>
    <w:qFormat/>
    <w:uiPriority w:val="99"/>
    <w:pPr>
      <w:spacing w:after="120"/>
    </w:pPr>
  </w:style>
  <w:style w:type="paragraph" w:styleId="15">
    <w:name w:val="Body Text 2"/>
    <w:basedOn w:val="1"/>
    <w:link w:val="52"/>
    <w:semiHidden/>
    <w:qFormat/>
    <w:uiPriority w:val="0"/>
    <w:pPr>
      <w:ind w:right="74" w:firstLine="720"/>
      <w:jc w:val="both"/>
    </w:pPr>
    <w:rPr>
      <w:sz w:val="28"/>
      <w:szCs w:val="20"/>
    </w:rPr>
  </w:style>
  <w:style w:type="paragraph" w:styleId="16">
    <w:name w:val="Body Text Indent"/>
    <w:basedOn w:val="1"/>
    <w:link w:val="56"/>
    <w:qFormat/>
    <w:uiPriority w:val="0"/>
    <w:pPr>
      <w:spacing w:after="120"/>
      <w:ind w:left="283"/>
    </w:pPr>
  </w:style>
  <w:style w:type="paragraph" w:styleId="17">
    <w:name w:val="Body Text Indent 2"/>
    <w:basedOn w:val="1"/>
    <w:link w:val="55"/>
    <w:unhideWhenUsed/>
    <w:qFormat/>
    <w:uiPriority w:val="99"/>
    <w:pPr>
      <w:spacing w:after="120" w:line="480" w:lineRule="auto"/>
      <w:ind w:left="283"/>
    </w:pPr>
  </w:style>
  <w:style w:type="paragraph" w:styleId="18">
    <w:name w:val="caption"/>
    <w:basedOn w:val="1"/>
    <w:next w:val="1"/>
    <w:qFormat/>
    <w:uiPriority w:val="0"/>
    <w:rPr>
      <w:b/>
      <w:color w:val="000000"/>
      <w:sz w:val="20"/>
      <w:szCs w:val="20"/>
      <w:lang w:val="ru-RU"/>
    </w:rPr>
  </w:style>
  <w:style w:type="paragraph" w:styleId="19">
    <w:name w:val="footer"/>
    <w:basedOn w:val="1"/>
    <w:link w:val="64"/>
    <w:unhideWhenUsed/>
    <w:qFormat/>
    <w:uiPriority w:val="99"/>
    <w:pPr>
      <w:tabs>
        <w:tab w:val="center" w:pos="4677"/>
        <w:tab w:val="right" w:pos="9355"/>
      </w:tabs>
    </w:pPr>
  </w:style>
  <w:style w:type="paragraph" w:styleId="20">
    <w:name w:val="header"/>
    <w:basedOn w:val="1"/>
    <w:link w:val="4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Title"/>
    <w:basedOn w:val="1"/>
    <w:link w:val="63"/>
    <w:qFormat/>
    <w:uiPriority w:val="0"/>
    <w:pPr>
      <w:jc w:val="center"/>
    </w:pPr>
    <w:rPr>
      <w:b/>
      <w:color w:val="000000"/>
      <w:sz w:val="32"/>
      <w:szCs w:val="20"/>
    </w:rPr>
  </w:style>
  <w:style w:type="character" w:styleId="23">
    <w:name w:val="page number"/>
    <w:basedOn w:val="22"/>
    <w:semiHidden/>
    <w:qFormat/>
    <w:uiPriority w:val="0"/>
  </w:style>
  <w:style w:type="paragraph" w:customStyle="1" w:styleId="25">
    <w:name w:val="Основной текст 21"/>
    <w:basedOn w:val="1"/>
    <w:qFormat/>
    <w:uiPriority w:val="0"/>
    <w:pPr>
      <w:widowControl w:val="0"/>
      <w:tabs>
        <w:tab w:val="left" w:pos="142"/>
        <w:tab w:val="left" w:pos="709"/>
      </w:tabs>
      <w:jc w:val="center"/>
    </w:pPr>
    <w:rPr>
      <w:szCs w:val="20"/>
      <w:lang w:val="ru-RU"/>
    </w:rPr>
  </w:style>
  <w:style w:type="paragraph" w:customStyle="1" w:styleId="26">
    <w:name w:val="заголовок 4"/>
    <w:basedOn w:val="1"/>
    <w:next w:val="1"/>
    <w:qFormat/>
    <w:uiPriority w:val="0"/>
    <w:pPr>
      <w:keepNext/>
      <w:autoSpaceDE w:val="0"/>
      <w:autoSpaceDN w:val="0"/>
    </w:pPr>
    <w:rPr>
      <w:b/>
      <w:bCs/>
      <w:sz w:val="20"/>
      <w:lang w:val="ru-RU"/>
    </w:rPr>
  </w:style>
  <w:style w:type="paragraph" w:customStyle="1" w:styleId="27">
    <w:name w:val="заголовок 11"/>
    <w:basedOn w:val="1"/>
    <w:next w:val="1"/>
    <w:qFormat/>
    <w:uiPriority w:val="0"/>
    <w:pPr>
      <w:keepNext/>
    </w:pPr>
    <w:rPr>
      <w:color w:val="000000"/>
      <w:szCs w:val="20"/>
    </w:rPr>
  </w:style>
  <w:style w:type="paragraph" w:customStyle="1" w:styleId="28">
    <w:name w:val="заголовок 42"/>
    <w:basedOn w:val="9"/>
    <w:next w:val="9"/>
    <w:qFormat/>
    <w:uiPriority w:val="0"/>
    <w:pPr>
      <w:keepNext/>
    </w:pPr>
    <w:rPr>
      <w:sz w:val="28"/>
    </w:rPr>
  </w:style>
  <w:style w:type="paragraph" w:customStyle="1" w:styleId="29">
    <w:name w:val="заголовок 51"/>
    <w:basedOn w:val="9"/>
    <w:next w:val="9"/>
    <w:qFormat/>
    <w:uiPriority w:val="0"/>
    <w:pPr>
      <w:keepNext/>
    </w:pPr>
    <w:rPr>
      <w:sz w:val="24"/>
      <w:lang w:val="uk-UA"/>
    </w:rPr>
  </w:style>
  <w:style w:type="paragraph" w:customStyle="1" w:styleId="30">
    <w:name w:val="заголовок 1"/>
    <w:basedOn w:val="1"/>
    <w:next w:val="1"/>
    <w:qFormat/>
    <w:uiPriority w:val="0"/>
    <w:pPr>
      <w:keepNext/>
      <w:ind w:right="-1185"/>
    </w:pPr>
    <w:rPr>
      <w:szCs w:val="20"/>
    </w:rPr>
  </w:style>
  <w:style w:type="paragraph" w:customStyle="1" w:styleId="31">
    <w:name w:val="заголовок 31"/>
    <w:basedOn w:val="1"/>
    <w:next w:val="1"/>
    <w:qFormat/>
    <w:uiPriority w:val="0"/>
    <w:pPr>
      <w:keepNext/>
      <w:ind w:hanging="426"/>
      <w:jc w:val="center"/>
    </w:pPr>
    <w:rPr>
      <w:b/>
      <w:color w:val="000000"/>
      <w:sz w:val="28"/>
      <w:szCs w:val="20"/>
      <w:lang w:val="ru-RU"/>
    </w:rPr>
  </w:style>
  <w:style w:type="paragraph" w:customStyle="1" w:styleId="32">
    <w:name w:val="заголовок 3"/>
    <w:basedOn w:val="1"/>
    <w:next w:val="1"/>
    <w:qFormat/>
    <w:uiPriority w:val="0"/>
    <w:pPr>
      <w:keepNext/>
      <w:jc w:val="both"/>
    </w:pPr>
    <w:rPr>
      <w:szCs w:val="20"/>
    </w:rPr>
  </w:style>
  <w:style w:type="paragraph" w:customStyle="1" w:styleId="33">
    <w:name w:val="Звичайний1"/>
    <w:qFormat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34">
    <w:name w:val="заголовок 2"/>
    <w:basedOn w:val="1"/>
    <w:next w:val="1"/>
    <w:qFormat/>
    <w:uiPriority w:val="0"/>
    <w:pPr>
      <w:keepNext/>
      <w:autoSpaceDE w:val="0"/>
      <w:autoSpaceDN w:val="0"/>
    </w:pPr>
    <w:rPr>
      <w:b/>
      <w:bCs/>
      <w:color w:val="000000"/>
      <w:sz w:val="28"/>
      <w:szCs w:val="28"/>
      <w:lang w:val="ru-RU"/>
    </w:rPr>
  </w:style>
  <w:style w:type="paragraph" w:customStyle="1" w:styleId="35">
    <w:name w:val="заголовок 41"/>
    <w:basedOn w:val="1"/>
    <w:next w:val="1"/>
    <w:qFormat/>
    <w:uiPriority w:val="0"/>
    <w:pPr>
      <w:keepNext/>
    </w:pPr>
    <w:rPr>
      <w:b/>
      <w:color w:val="000000"/>
      <w:sz w:val="26"/>
      <w:szCs w:val="20"/>
      <w:lang w:val="ru-RU"/>
    </w:rPr>
  </w:style>
  <w:style w:type="paragraph" w:customStyle="1" w:styleId="36">
    <w:name w:val="Заголовок 11"/>
    <w:basedOn w:val="9"/>
    <w:next w:val="9"/>
    <w:qFormat/>
    <w:uiPriority w:val="0"/>
    <w:pPr>
      <w:keepNext/>
      <w:outlineLvl w:val="0"/>
    </w:pPr>
    <w:rPr>
      <w:b/>
      <w:color w:val="000000"/>
    </w:rPr>
  </w:style>
  <w:style w:type="paragraph" w:customStyle="1" w:styleId="37">
    <w:name w:val="Основний текст 21"/>
    <w:basedOn w:val="1"/>
    <w:qFormat/>
    <w:uiPriority w:val="0"/>
    <w:pPr>
      <w:widowControl w:val="0"/>
      <w:tabs>
        <w:tab w:val="left" w:pos="142"/>
        <w:tab w:val="left" w:pos="709"/>
      </w:tabs>
      <w:jc w:val="center"/>
    </w:pPr>
    <w:rPr>
      <w:szCs w:val="20"/>
      <w:lang w:val="ru-RU"/>
    </w:rPr>
  </w:style>
  <w:style w:type="paragraph" w:customStyle="1" w:styleId="38">
    <w:name w:val="заголовок 8"/>
    <w:basedOn w:val="1"/>
    <w:next w:val="1"/>
    <w:qFormat/>
    <w:uiPriority w:val="0"/>
    <w:pPr>
      <w:keepNext/>
      <w:autoSpaceDE w:val="0"/>
      <w:autoSpaceDN w:val="0"/>
      <w:ind w:right="-1185"/>
      <w:jc w:val="both"/>
    </w:pPr>
    <w:rPr>
      <w:sz w:val="20"/>
      <w:lang w:val="ru-RU"/>
    </w:rPr>
  </w:style>
  <w:style w:type="paragraph" w:customStyle="1" w:styleId="39">
    <w:name w:val="заголовок 21"/>
    <w:basedOn w:val="1"/>
    <w:next w:val="1"/>
    <w:qFormat/>
    <w:uiPriority w:val="0"/>
    <w:pPr>
      <w:keepNext/>
    </w:pPr>
    <w:rPr>
      <w:b/>
      <w:color w:val="000000"/>
      <w:szCs w:val="20"/>
      <w:lang w:val="ru-RU"/>
    </w:rPr>
  </w:style>
  <w:style w:type="paragraph" w:customStyle="1" w:styleId="40">
    <w:name w:val="заголовок 9"/>
    <w:basedOn w:val="1"/>
    <w:next w:val="1"/>
    <w:qFormat/>
    <w:uiPriority w:val="0"/>
    <w:pPr>
      <w:keepNext/>
      <w:jc w:val="both"/>
    </w:pPr>
    <w:rPr>
      <w:b/>
      <w:color w:val="000000"/>
      <w:sz w:val="28"/>
      <w:szCs w:val="20"/>
    </w:rPr>
  </w:style>
  <w:style w:type="paragraph" w:customStyle="1" w:styleId="41">
    <w:name w:val="заголовок 7"/>
    <w:basedOn w:val="1"/>
    <w:next w:val="1"/>
    <w:qFormat/>
    <w:uiPriority w:val="0"/>
    <w:pPr>
      <w:keepNext/>
      <w:jc w:val="center"/>
    </w:pPr>
    <w:rPr>
      <w:b/>
      <w:sz w:val="28"/>
      <w:szCs w:val="20"/>
    </w:rPr>
  </w:style>
  <w:style w:type="paragraph" w:customStyle="1" w:styleId="42">
    <w:name w:val="Обычный2"/>
    <w:qFormat/>
    <w:uiPriority w:val="0"/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43">
    <w:name w:val="Заголовок 6 Знак"/>
    <w:link w:val="7"/>
    <w:semiHidden/>
    <w:qFormat/>
    <w:uiPriority w:val="9"/>
    <w:rPr>
      <w:rFonts w:ascii="Calibri" w:hAnsi="Calibri" w:eastAsia="Times New Roman" w:cs="Times New Roman"/>
      <w:b/>
      <w:bCs/>
      <w:sz w:val="22"/>
      <w:szCs w:val="22"/>
      <w:lang w:val="uk-UA"/>
    </w:rPr>
  </w:style>
  <w:style w:type="character" w:customStyle="1" w:styleId="44">
    <w:name w:val="Верхній колонтитул Знак"/>
    <w:link w:val="20"/>
    <w:qFormat/>
    <w:uiPriority w:val="99"/>
    <w:rPr>
      <w:rFonts w:ascii="Times New Roman" w:hAnsi="Times New Roman" w:eastAsia="Times New Roman"/>
      <w:sz w:val="24"/>
      <w:szCs w:val="24"/>
      <w:lang w:val="uk-UA"/>
    </w:rPr>
  </w:style>
  <w:style w:type="character" w:customStyle="1" w:styleId="45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46">
    <w:name w:val="Знак9"/>
    <w:qFormat/>
    <w:uiPriority w:val="0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customStyle="1" w:styleId="47">
    <w:name w:val="Знак17"/>
    <w:qFormat/>
    <w:uiPriority w:val="0"/>
    <w:rPr>
      <w:rFonts w:ascii="Times New Roman" w:hAnsi="Times New Roman" w:eastAsia="Times New Roman" w:cs="Times New Roman"/>
      <w:b/>
      <w:color w:val="000000"/>
      <w:sz w:val="28"/>
      <w:szCs w:val="20"/>
      <w:lang w:val="ru-RU" w:eastAsia="ru-RU"/>
    </w:rPr>
  </w:style>
  <w:style w:type="character" w:customStyle="1" w:styleId="48">
    <w:name w:val="Заголовок 5 Знак"/>
    <w:link w:val="6"/>
    <w:qFormat/>
    <w:uiPriority w:val="0"/>
    <w:rPr>
      <w:rFonts w:ascii="Times New Roman" w:hAnsi="Times New Roman" w:eastAsia="Times New Roman"/>
      <w:b/>
      <w:bCs/>
      <w:i/>
      <w:iCs/>
      <w:sz w:val="26"/>
      <w:szCs w:val="26"/>
      <w:lang w:val="uk-UA"/>
    </w:rPr>
  </w:style>
  <w:style w:type="character" w:customStyle="1" w:styleId="49">
    <w:name w:val="Знак11"/>
    <w:qFormat/>
    <w:uiPriority w:val="0"/>
    <w:rPr>
      <w:rFonts w:ascii="Times New Roman" w:hAnsi="Times New Roman" w:eastAsia="Times New Roman" w:cs="Times New Roman"/>
      <w:b/>
      <w:snapToGrid w:val="0"/>
      <w:sz w:val="28"/>
      <w:szCs w:val="20"/>
      <w:lang w:val="uk-UA" w:eastAsia="ru-RU"/>
    </w:rPr>
  </w:style>
  <w:style w:type="character" w:customStyle="1" w:styleId="50">
    <w:name w:val="Знак18"/>
    <w:qFormat/>
    <w:uiPriority w:val="0"/>
    <w:rPr>
      <w:rFonts w:ascii="Times New Roman" w:hAnsi="Times New Roman" w:eastAsia="Times New Roman" w:cs="Times New Roman"/>
      <w:b/>
      <w:sz w:val="28"/>
      <w:szCs w:val="20"/>
      <w:lang w:val="ru-RU" w:eastAsia="ru-RU"/>
    </w:rPr>
  </w:style>
  <w:style w:type="character" w:customStyle="1" w:styleId="51">
    <w:name w:val="Знак13"/>
    <w:qFormat/>
    <w:uiPriority w:val="0"/>
    <w:rPr>
      <w:rFonts w:ascii="Times New Roman" w:hAnsi="Times New Roman" w:eastAsia="Times New Roman"/>
      <w:b/>
      <w:bCs/>
      <w:i/>
      <w:iCs/>
      <w:sz w:val="26"/>
      <w:szCs w:val="26"/>
      <w:lang w:val="uk-UA"/>
    </w:rPr>
  </w:style>
  <w:style w:type="character" w:customStyle="1" w:styleId="52">
    <w:name w:val="Основний текст 2 Знак"/>
    <w:link w:val="15"/>
    <w:semiHidden/>
    <w:qFormat/>
    <w:uiPriority w:val="0"/>
    <w:rPr>
      <w:rFonts w:ascii="Times New Roman" w:hAnsi="Times New Roman" w:eastAsia="Times New Roman" w:cs="Times New Roman"/>
      <w:sz w:val="28"/>
      <w:szCs w:val="20"/>
      <w:lang w:val="uk-UA" w:eastAsia="ru-RU"/>
    </w:rPr>
  </w:style>
  <w:style w:type="character" w:customStyle="1" w:styleId="53">
    <w:name w:val="Заголовок 8 Знак"/>
    <w:link w:val="10"/>
    <w:qFormat/>
    <w:uiPriority w:val="0"/>
    <w:rPr>
      <w:rFonts w:ascii="Times New Roman" w:hAnsi="Times New Roman" w:eastAsia="Times New Roman" w:cs="Times New Roman"/>
      <w:b/>
      <w:sz w:val="18"/>
      <w:szCs w:val="24"/>
      <w:lang w:val="uk-UA" w:eastAsia="ru-RU"/>
    </w:rPr>
  </w:style>
  <w:style w:type="character" w:customStyle="1" w:styleId="54">
    <w:name w:val="Заголовок 7 Знак"/>
    <w:link w:val="8"/>
    <w:qFormat/>
    <w:uiPriority w:val="0"/>
    <w:rPr>
      <w:rFonts w:ascii="Times New Roman" w:hAnsi="Times New Roman" w:eastAsia="Times New Roman" w:cs="Times New Roman"/>
      <w:b/>
      <w:snapToGrid w:val="0"/>
      <w:sz w:val="28"/>
      <w:szCs w:val="20"/>
      <w:lang w:val="uk-UA" w:eastAsia="ru-RU"/>
    </w:rPr>
  </w:style>
  <w:style w:type="character" w:customStyle="1" w:styleId="55">
    <w:name w:val="Основний текст з відступом 2 Знак"/>
    <w:link w:val="17"/>
    <w:qFormat/>
    <w:uiPriority w:val="99"/>
    <w:rPr>
      <w:rFonts w:ascii="Times New Roman" w:hAnsi="Times New Roman" w:eastAsia="Times New Roman"/>
      <w:sz w:val="24"/>
      <w:szCs w:val="24"/>
      <w:lang w:val="uk-UA"/>
    </w:rPr>
  </w:style>
  <w:style w:type="character" w:customStyle="1" w:styleId="56">
    <w:name w:val="Основний текст з відступом Знак"/>
    <w:link w:val="16"/>
    <w:qFormat/>
    <w:uiPriority w:val="0"/>
    <w:rPr>
      <w:rFonts w:ascii="Times New Roman" w:hAnsi="Times New Roman" w:eastAsia="Times New Roman"/>
      <w:sz w:val="24"/>
      <w:szCs w:val="24"/>
      <w:lang w:val="uk-UA"/>
    </w:rPr>
  </w:style>
  <w:style w:type="character" w:customStyle="1" w:styleId="57">
    <w:name w:val="Заголовок 9 Знак"/>
    <w:link w:val="11"/>
    <w:qFormat/>
    <w:uiPriority w:val="0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customStyle="1" w:styleId="58">
    <w:name w:val="Знак15"/>
    <w:qFormat/>
    <w:uiPriority w:val="0"/>
    <w:rPr>
      <w:rFonts w:ascii="Times New Roman" w:hAnsi="Times New Roman" w:eastAsia="Times New Roman" w:cs="Times New Roman"/>
      <w:b/>
      <w:sz w:val="32"/>
      <w:szCs w:val="20"/>
      <w:lang w:val="uk-UA" w:eastAsia="ru-RU"/>
    </w:rPr>
  </w:style>
  <w:style w:type="character" w:customStyle="1" w:styleId="59">
    <w:name w:val="Основний текст Знак"/>
    <w:link w:val="14"/>
    <w:qFormat/>
    <w:uiPriority w:val="99"/>
    <w:rPr>
      <w:rFonts w:ascii="Times New Roman" w:hAnsi="Times New Roman" w:eastAsia="Times New Roman"/>
      <w:sz w:val="24"/>
      <w:szCs w:val="24"/>
      <w:lang w:val="uk-UA"/>
    </w:rPr>
  </w:style>
  <w:style w:type="character" w:customStyle="1" w:styleId="60">
    <w:name w:val="Заголовок 4 Знак"/>
    <w:link w:val="5"/>
    <w:qFormat/>
    <w:uiPriority w:val="0"/>
    <w:rPr>
      <w:rFonts w:ascii="Times New Roman" w:hAnsi="Times New Roman" w:eastAsia="Times New Roman" w:cs="Times New Roman"/>
      <w:b/>
      <w:color w:val="000000"/>
      <w:sz w:val="32"/>
      <w:szCs w:val="20"/>
      <w:lang w:val="uk-UA" w:eastAsia="ru-RU"/>
    </w:rPr>
  </w:style>
  <w:style w:type="character" w:customStyle="1" w:styleId="61">
    <w:name w:val="Заголовок 3 Знак"/>
    <w:link w:val="4"/>
    <w:qFormat/>
    <w:uiPriority w:val="0"/>
    <w:rPr>
      <w:rFonts w:ascii="Times New Roman" w:hAnsi="Times New Roman" w:eastAsia="Times New Roman" w:cs="Times New Roman"/>
      <w:b/>
      <w:sz w:val="32"/>
      <w:szCs w:val="20"/>
      <w:lang w:val="uk-UA" w:eastAsia="ru-RU"/>
    </w:rPr>
  </w:style>
  <w:style w:type="character" w:customStyle="1" w:styleId="62">
    <w:name w:val="Знак14"/>
    <w:qFormat/>
    <w:uiPriority w:val="0"/>
    <w:rPr>
      <w:rFonts w:ascii="Times New Roman" w:hAnsi="Times New Roman" w:eastAsia="Times New Roman" w:cs="Times New Roman"/>
      <w:b/>
      <w:color w:val="000000"/>
      <w:sz w:val="32"/>
      <w:szCs w:val="20"/>
      <w:lang w:val="uk-UA" w:eastAsia="ru-RU"/>
    </w:rPr>
  </w:style>
  <w:style w:type="character" w:customStyle="1" w:styleId="63">
    <w:name w:val="Назва Знак"/>
    <w:link w:val="21"/>
    <w:qFormat/>
    <w:uiPriority w:val="0"/>
    <w:rPr>
      <w:rFonts w:ascii="Times New Roman" w:hAnsi="Times New Roman" w:eastAsia="Times New Roman"/>
      <w:b/>
      <w:color w:val="000000"/>
      <w:sz w:val="32"/>
      <w:lang w:val="uk-UA"/>
    </w:rPr>
  </w:style>
  <w:style w:type="character" w:customStyle="1" w:styleId="64">
    <w:name w:val="Нижній колонтитул Знак"/>
    <w:link w:val="19"/>
    <w:qFormat/>
    <w:uiPriority w:val="99"/>
    <w:rPr>
      <w:rFonts w:ascii="Times New Roman" w:hAnsi="Times New Roman" w:eastAsia="Times New Roman"/>
      <w:sz w:val="24"/>
      <w:szCs w:val="24"/>
      <w:lang w:val="uk-UA"/>
    </w:rPr>
  </w:style>
  <w:style w:type="character" w:customStyle="1" w:styleId="65">
    <w:name w:val="Заголовок 2 Знак"/>
    <w:link w:val="3"/>
    <w:qFormat/>
    <w:uiPriority w:val="0"/>
    <w:rPr>
      <w:rFonts w:ascii="Times New Roman" w:hAnsi="Times New Roman" w:eastAsia="Times New Roman" w:cs="Times New Roman"/>
      <w:b/>
      <w:color w:val="000000"/>
      <w:sz w:val="28"/>
      <w:szCs w:val="20"/>
      <w:lang w:eastAsia="ru-RU"/>
    </w:rPr>
  </w:style>
  <w:style w:type="character" w:customStyle="1" w:styleId="66">
    <w:name w:val="Знак6"/>
    <w:qFormat/>
    <w:uiPriority w:val="0"/>
    <w:rPr>
      <w:rFonts w:ascii="Times New Roman" w:hAnsi="Times New Roman" w:eastAsia="Times New Roman"/>
      <w:sz w:val="24"/>
      <w:szCs w:val="24"/>
      <w:lang w:val="uk-U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DKU</Company>
  <Pages>3</Pages>
  <Words>3866</Words>
  <Characters>2204</Characters>
  <Lines>18</Lines>
  <Paragraphs>12</Paragraphs>
  <ScaleCrop>false</ScaleCrop>
  <LinksUpToDate>false</LinksUpToDate>
  <CharactersWithSpaces>6058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2015-12-16T10:40:00Z</dcterms:created>
  <dc:creator>h_klutchnik</dc:creator>
  <cp:lastModifiedBy>Rionis</cp:lastModifiedBy>
  <cp:lastPrinted>2013-08-22T12:26:00Z</cp:lastPrinted>
  <dcterms:modified xsi:type="dcterms:W3CDTF">2016-12-27T15:06:31Z</dcterms:modified>
  <dc:title>Про затвердження Порядку складання фінансової та бюджетної звітності розпорядниками та одержувачами бюджетних коштів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44_24012012</vt:lpwstr>
  </property>
  <property fmtid="{D5CDD505-2E9C-101B-9397-08002B2CF9AE}" pid="3" name="_dlc_DocId">
    <vt:lpwstr>MFWF-3-225</vt:lpwstr>
  </property>
  <property fmtid="{D5CDD505-2E9C-101B-9397-08002B2CF9AE}" pid="4" name="_dlc_DocIdItemGuid">
    <vt:lpwstr>ed02c9c0-236c-4eb7-a0ec-657709349615</vt:lpwstr>
  </property>
  <property fmtid="{D5CDD505-2E9C-101B-9397-08002B2CF9AE}" pid="5" name="_dlc_DocIdUrl">
    <vt:lpwstr>http://workflow/_layouts/DocIdRedir.aspx?ID=MFWF-3-225, MFWF-3-225</vt:lpwstr>
  </property>
  <property fmtid="{D5CDD505-2E9C-101B-9397-08002B2CF9AE}" pid="6" name="WorkflowCreationPath">
    <vt:lpwstr>419d54cb-f2ea-41fb-b1f6-f7d0943e63e7,2;</vt:lpwstr>
  </property>
  <property fmtid="{D5CDD505-2E9C-101B-9397-08002B2CF9AE}" pid="7" name="_docset_NoMedatataSyncRequired">
    <vt:lpwstr>True</vt:lpwstr>
  </property>
  <property fmtid="{D5CDD505-2E9C-101B-9397-08002B2CF9AE}" pid="8" name="Реєстраційний номер">
    <vt:lpwstr>44</vt:lpwstr>
  </property>
  <property fmtid="{D5CDD505-2E9C-101B-9397-08002B2CF9AE}" pid="9" name="адреса документа">
    <vt:lpwstr>http://workflow/Orders2012/������������� � ̳�����/44_24012012/�������_10.doc, http://workflow/Orders2012/������������� � ̳�����/44_24012012/�������_10.doc</vt:lpwstr>
  </property>
  <property fmtid="{D5CDD505-2E9C-101B-9397-08002B2CF9AE}" pid="10" name="Підрозділ-автор">
    <vt:lpwstr>04000</vt:lpwstr>
  </property>
  <property fmtid="{D5CDD505-2E9C-101B-9397-08002B2CF9AE}" pid="11" name="IsValid">
    <vt:lpwstr>������</vt:lpwstr>
  </property>
  <property fmtid="{D5CDD505-2E9C-101B-9397-08002B2CF9AE}" pid="12" name="Дата реєстрації">
    <vt:lpwstr>2012-01-23T23:00:00Z</vt:lpwstr>
  </property>
  <property fmtid="{D5CDD505-2E9C-101B-9397-08002B2CF9AE}" pid="13" name="KSOProductBuildVer">
    <vt:lpwstr>1033-10.2.0.5811</vt:lpwstr>
  </property>
</Properties>
</file>