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BB53" w14:textId="428D74FB" w:rsidR="00B82224" w:rsidRDefault="0045252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Текст</w:t>
      </w:r>
    </w:p>
    <w:p w14:paraId="3B852A5D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1. Тема</w:t>
      </w:r>
    </w:p>
    <w:p w14:paraId="7EB6FE49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Здравствуйте. Тема нашей работы — судебная практика в области защиты информации.</w:t>
      </w:r>
    </w:p>
    <w:p w14:paraId="4D4621D1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Мы рассмотрим три дела судов первой инстанции, относящиеся к разным видам охраняемой информации:</w:t>
      </w:r>
    </w:p>
    <w:p w14:paraId="168C2CF7" w14:textId="77777777" w:rsidR="0045252D" w:rsidRPr="0045252D" w:rsidRDefault="0045252D" w:rsidP="004525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коммерческая тайна;</w:t>
      </w:r>
    </w:p>
    <w:p w14:paraId="1AA5B1A3" w14:textId="77777777" w:rsidR="0045252D" w:rsidRPr="0045252D" w:rsidRDefault="0045252D" w:rsidP="004525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государственная тайна;</w:t>
      </w:r>
    </w:p>
    <w:p w14:paraId="619C6CA4" w14:textId="77777777" w:rsidR="0045252D" w:rsidRPr="0045252D" w:rsidRDefault="0045252D" w:rsidP="004525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персональные данные.</w:t>
      </w:r>
    </w:p>
    <w:p w14:paraId="4900B2C8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Все дела были рассмотрены судами Сибирского федерального округа.</w:t>
      </w:r>
    </w:p>
    <w:p w14:paraId="3AD78F61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0CFE0ABD">
          <v:rect id="_x0000_i1223" style="width:0;height:1.5pt" o:hralign="center" o:hrstd="t" o:hr="t" fillcolor="#a0a0a0" stroked="f"/>
        </w:pict>
      </w:r>
    </w:p>
    <w:p w14:paraId="7AA4453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2. План выступления</w:t>
      </w:r>
    </w:p>
    <w:p w14:paraId="0B004C0A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 каждом деле мы кратко рассмотрим обстоятельства спора, позиции сторон, решение суда и его обоснование.</w:t>
      </w:r>
    </w:p>
    <w:p w14:paraId="2571D541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Первое дело рассматривал Арбитражный суд Новосибирской области. Оно связано с передачей клиентской информации конкуренту.</w:t>
      </w:r>
    </w:p>
    <w:p w14:paraId="1B0EEC3E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Второе дело рассматривал Кызылский городской суд Республики Тыва. В нём изучался вопрос о достоверности сведений при оформлении допуска к государственной тайне.</w:t>
      </w:r>
    </w:p>
    <w:p w14:paraId="2689C0E5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Третье дело рассматривал Первомайский районный суд города Омска. Оно касалось обработки персональных данных после отзыва согласия.</w:t>
      </w:r>
    </w:p>
    <w:p w14:paraId="0DB9D7C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08EEBC5F">
          <v:rect id="_x0000_i1224" style="width:0;height:1.5pt" o:hralign="center" o:hrstd="t" o:hr="t" fillcolor="#a0a0a0" stroked="f"/>
        </w:pict>
      </w:r>
    </w:p>
    <w:p w14:paraId="2D97A4D1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3. Дело о коммерческой тайне</w:t>
      </w:r>
    </w:p>
    <w:p w14:paraId="2D9AB042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Первое дело — № А45-47738/2018, рассмотренное Арбитражным судом Новосибирской области 29 марта 2019 года.</w:t>
      </w:r>
    </w:p>
    <w:p w14:paraId="22688EA6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ООО «Функе Сибирь» заключило с индивидуальным предпринимателем агентский договор. Агент должен был искать клиентов и соблюдать конфиденциальность полученной информации.</w:t>
      </w:r>
    </w:p>
    <w:p w14:paraId="20353266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Клиент направил запрос на коммерческое предложение по теплообменникам. Однако агент передал информацию конкуренту и направил клиенту предложение уже от имени другой организации.</w:t>
      </w:r>
    </w:p>
    <w:p w14:paraId="33DB4075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lastRenderedPageBreak/>
        <w:t>Таким образом, спор возник из-за возможного разглашения клиентской информации и нарушения условий агентского договора.</w:t>
      </w:r>
    </w:p>
    <w:p w14:paraId="7D449454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Истец считал, что сведения о клиенте и его запросе защищены режимом коммерческой тайны. Компания потребовала взыскать с агента штраф в размере 200 тысяч рублей.</w:t>
      </w:r>
    </w:p>
    <w:p w14:paraId="4AFB53D3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Ответчик отрицал факт разглашения. Кроме того, он просил суд снизить размер штрафа, если нарушение будет доказано.</w:t>
      </w:r>
    </w:p>
    <w:p w14:paraId="26CBA27E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49BD3578">
          <v:rect id="_x0000_i1225" style="width:0;height:1.5pt" o:hralign="center" o:hrstd="t" o:hr="t" fillcolor="#a0a0a0" stroked="f"/>
        </w:pict>
      </w:r>
    </w:p>
    <w:p w14:paraId="6D257145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4. Решение по первому делу</w:t>
      </w:r>
    </w:p>
    <w:p w14:paraId="5077586E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Суд пришёл к выводу, что факт передачи информации подтверждён.</w:t>
      </w:r>
    </w:p>
    <w:p w14:paraId="0D885140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При рассмотрении дела суд исследовал переписку сторон, агентский договор и внутренние документы организации, устанавливающие режим коммерческой тайны.</w:t>
      </w:r>
    </w:p>
    <w:p w14:paraId="41A1BD32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При этом суд не взыскал всю заявленную сумму. Из 200 тысяч рублей было взыскано 100 тысяч.</w:t>
      </w:r>
    </w:p>
    <w:p w14:paraId="74E402CC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Суд применил статью 333 Гражданского кодекса Российской Федерации, которая позволяет снизить неустойку, если она явно несоразмерна последствиям нарушения.</w:t>
      </w:r>
    </w:p>
    <w:p w14:paraId="6A4C51EE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 данном случае суд учёл, что речь шла об одном эпизоде, а конкретные убытки компании доказаны не были.</w:t>
      </w:r>
    </w:p>
    <w:p w14:paraId="0CF00130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Главный вывод по делу состоит в том, что для защиты коммерческой тайны необходимо не только назвать сведения конфиденциальными, но и подтвердить установленный режим охраны, а также доказать сам факт нарушения.</w:t>
      </w:r>
    </w:p>
    <w:p w14:paraId="450A852A" w14:textId="581A4CB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7AB915D5">
          <v:rect id="_x0000_i1226" style="width:0;height:1.5pt" o:hralign="center" o:hrstd="t" o:hr="t" fillcolor="#a0a0a0" stroked="f"/>
        </w:pict>
      </w: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5. Дело о государственной тайне</w:t>
      </w:r>
    </w:p>
    <w:p w14:paraId="3FA383BC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Второе дело № 2-1304/2018 рассмотрел Кызылский городской суд Республики Тыва. Решение было принято 5 июня 2018 года.</w:t>
      </w:r>
    </w:p>
    <w:p w14:paraId="7F01973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Истец работал в военкомате и имел дело с документами, содержащими сведения ограниченного доступа. Для выполнения этой работы ему требовался допуск к государственной тайне.</w:t>
      </w:r>
    </w:p>
    <w:p w14:paraId="7B13039A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lastRenderedPageBreak/>
        <w:t>При оформлении документов сотрудник указал недостоверные сведения о наличии заграничного паспорта. В одной анкете он указал, что паспорта нет, а в другой анкете соответствующие сведения отсутствовали.</w:t>
      </w:r>
    </w:p>
    <w:p w14:paraId="237E1712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После этого работодатель прекратил допуск к государственной тайне, а затем уволил сотрудника.</w:t>
      </w:r>
    </w:p>
    <w:p w14:paraId="3747C536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Истец утверждал, что не хотел вводить работодателя в заблуждение и мог просто не помнить реквизиты паспорта. Он считал прекращение допуска и увольнение незаконными.</w:t>
      </w:r>
    </w:p>
    <w:p w14:paraId="576580E2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Ответчики, напротив, указали, что анкета содержала недостоверные сведения, а занимаемая должность требовала действующего допуска. Также они ссылались на отсутствие подходящей вакансии и пропуск срока обращения в суд.</w:t>
      </w:r>
    </w:p>
    <w:p w14:paraId="6C0E36E4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29877308">
          <v:rect id="_x0000_i1227" style="width:0;height:1.5pt" o:hralign="center" o:hrstd="t" o:hr="t" fillcolor="#a0a0a0" stroked="f"/>
        </w:pict>
      </w:r>
    </w:p>
    <w:p w14:paraId="785CAC08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6. Решение по второму делу</w:t>
      </w:r>
    </w:p>
    <w:p w14:paraId="16409BA1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Суд отказал в удовлетворении иска.</w:t>
      </w:r>
    </w:p>
    <w:p w14:paraId="479F388B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Первым основанием стало то, что прекращение допуска было признано правомерным. Суд исходил не просто из факта наличия у работника заграничного паспорта, а из того, что при оформлении допуска были указаны недостоверные сведения.</w:t>
      </w:r>
    </w:p>
    <w:p w14:paraId="42490A28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Для допуска к государственной тайне важны достоверность предоставленной информации и соблюдение установленной процедуры проверки.</w:t>
      </w:r>
    </w:p>
    <w:p w14:paraId="07177C52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Вторым основанием стал пропуск срока обращения в суд по требованиям о восстановлении на работе. Такие требования должны заявляться в течение установленного законом месячного срока.</w:t>
      </w:r>
    </w:p>
    <w:p w14:paraId="2B091CD3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 результате приказы работодателя не были отменены, работник не был восстановлен, а компенсация ему не присуждалась.</w:t>
      </w:r>
    </w:p>
    <w:p w14:paraId="17A385A0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Это дело показывает, что при оформлении допуска к государственной тайне особое значение имеют точность анкетных данных и соблюдение трудовых процессуальных сроков.</w:t>
      </w:r>
    </w:p>
    <w:p w14:paraId="7749FCB9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4C54CE0D">
          <v:rect id="_x0000_i1228" style="width:0;height:1.5pt" o:hralign="center" o:hrstd="t" o:hr="t" fillcolor="#a0a0a0" stroked="f"/>
        </w:pict>
      </w:r>
    </w:p>
    <w:p w14:paraId="6C714ED9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7. Дело о персональных данных</w:t>
      </w:r>
    </w:p>
    <w:p w14:paraId="51EACE98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Третье дело № 2-2898/2024 рассмотрел Первомайский районный суд города Омска. Решение принято 18 сентября 2024 года.</w:t>
      </w:r>
    </w:p>
    <w:p w14:paraId="38048F7C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lastRenderedPageBreak/>
        <w:t>Истца интересовала обработка её персональных данных микрокредитными организациями.</w:t>
      </w:r>
    </w:p>
    <w:p w14:paraId="220161F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 отношении компании «Лайм-Займ» истица ранее оформляла микрозайм, но 9 октября 2023 года отозвала согласие на обработку персональных данных и попросила удалить личный кабинет. Несмотря на это, ей продолжали поступать предложения займа.</w:t>
      </w:r>
    </w:p>
    <w:p w14:paraId="2A17F302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Кроме того, истица получала сообщения от компании «Академическая», или Webzaim.ru. Она отрицала, что давала этой организации согласие на обработку персональных данных и получение сообщений.</w:t>
      </w:r>
    </w:p>
    <w:p w14:paraId="73D268FE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Истица потребовала прекратить обработку её данных, удалить личный кабинет и выплатить компенсацию морального вреда.</w:t>
      </w:r>
    </w:p>
    <w:p w14:paraId="6A12CD3C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Ответчики ссылались на то, что первоначальные согласия на обработку данных существовали.</w:t>
      </w:r>
    </w:p>
    <w:p w14:paraId="6E58657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6C71A1E3">
          <v:rect id="_x0000_i1229" style="width:0;height:1.5pt" o:hralign="center" o:hrstd="t" o:hr="t" fillcolor="#a0a0a0" stroked="f"/>
        </w:pict>
      </w:r>
    </w:p>
    <w:p w14:paraId="50396AEF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8. Решение по третьему делу</w:t>
      </w:r>
    </w:p>
    <w:p w14:paraId="45C83175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Суд удовлетворил требования частично.</w:t>
      </w:r>
    </w:p>
    <w:p w14:paraId="2C1E3F28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Обоим ответчикам было предписано прекратить обработку персональных данных истицы.</w:t>
      </w:r>
    </w:p>
    <w:p w14:paraId="1F69995B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Кроме того, с каждой микрокредитной компании была взыскана компенсация морального вреда в размере 10 тысяч рублей.</w:t>
      </w:r>
    </w:p>
    <w:p w14:paraId="312CF7E6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Однако суд отказался обязать «Лайм-Займ» удалить личный кабинет.</w:t>
      </w:r>
    </w:p>
    <w:p w14:paraId="252F031B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Обоснование суда заключалось в том, что отзыв согласия прекращает правовое основание для дальнейшей обработки персональных данных. Если оператор продолжает обработку после отзыва согласия, это является нарушением.</w:t>
      </w:r>
    </w:p>
    <w:p w14:paraId="1796E06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При этом прекращение обработки персональных данных и удаление личного кабинета — разные юридические требования. Поэтому суд удовлетворил первое требование, но отказал во втором.</w:t>
      </w:r>
    </w:p>
    <w:p w14:paraId="122B8EBC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5E5C6126">
          <v:rect id="_x0000_i1230" style="width:0;height:1.5pt" o:hralign="center" o:hrstd="t" o:hr="t" fillcolor="#a0a0a0" stroked="f"/>
        </w:pict>
      </w:r>
    </w:p>
    <w:p w14:paraId="6AF1BE66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Слайд 9. Общий вывод</w:t>
      </w:r>
    </w:p>
    <w:p w14:paraId="5722321C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Рассмотренные дела показывают, что защита информации осуществляется разными правовыми механизмами.</w:t>
      </w:r>
    </w:p>
    <w:p w14:paraId="55E93B1B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lastRenderedPageBreak/>
        <w:t>В деле о коммерческой тайне суд проверял, был ли установлен режим конфиденциальности и доказан ли факт передачи информации.</w:t>
      </w:r>
    </w:p>
    <w:p w14:paraId="6F8D59F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 деле о государственной тайне ключевое значение имели достоверность сведений в анкете и соблюдение процедуры допуска.</w:t>
      </w:r>
    </w:p>
    <w:p w14:paraId="1CC14CCC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 деле о персональных данных суд оценивал наличие согласия и последствия его отзыва.</w:t>
      </w:r>
    </w:p>
    <w:p w14:paraId="3EABEF86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Таким образом, одного общего правила для всех информационных споров нет. Для каждого вида информации применяются свои требования к доказательствам, процедурам и ответственности.</w:t>
      </w:r>
    </w:p>
    <w:p w14:paraId="291F2A28" w14:textId="14CA933C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1907C6FF">
          <v:rect id="_x0000_i1231" style="width:0;height:1.5pt" o:hralign="center" o:hrstd="t" o:hr="t" fillcolor="#a0a0a0" stroked="f"/>
        </w:pict>
      </w:r>
    </w:p>
    <w:p w14:paraId="5EA2DE80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93EC50B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В заключение можно сказать, что эффективная защита информации зависит не только от существования соответствующего закона.</w:t>
      </w:r>
    </w:p>
    <w:p w14:paraId="681A0A1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Организация должна правильно установить режим коммерческой тайны, работник обязан достоверно заполнять документы для допуска к государственной тайне, а оператор персональных данных должен своевременно реагировать на отзыв согласия.</w:t>
      </w:r>
    </w:p>
    <w:p w14:paraId="4A01FF0E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pict w14:anchorId="2E20CDD5">
          <v:rect id="_x0000_i1233" style="width:0;height:1.5pt" o:hralign="center" o:hrstd="t" o:hr="t" fillcolor="#a0a0a0" stroked="f"/>
        </w:pict>
      </w:r>
    </w:p>
    <w:p w14:paraId="7B648D87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Наиболее важный общий вывод состоит в том, что суды оценивают не только сам факт нарушения, но и доказательства, порядок действий сторон и последствия нарушения.</w:t>
      </w:r>
    </w:p>
    <w:p w14:paraId="5B967033" w14:textId="77777777" w:rsidR="0045252D" w:rsidRPr="0045252D" w:rsidRDefault="0045252D" w:rsidP="0045252D">
      <w:pPr>
        <w:rPr>
          <w:rFonts w:ascii="Times New Roman" w:hAnsi="Times New Roman" w:cs="Times New Roman"/>
          <w:sz w:val="28"/>
          <w:szCs w:val="28"/>
        </w:rPr>
      </w:pPr>
      <w:r w:rsidRPr="0045252D">
        <w:rPr>
          <w:rFonts w:ascii="Times New Roman" w:hAnsi="Times New Roman" w:cs="Times New Roman"/>
          <w:sz w:val="28"/>
          <w:szCs w:val="28"/>
        </w:rPr>
        <w:t>Спасибо за внимание.</w:t>
      </w:r>
    </w:p>
    <w:p w14:paraId="378172AD" w14:textId="77777777" w:rsidR="0045252D" w:rsidRPr="0045252D" w:rsidRDefault="0045252D">
      <w:pPr>
        <w:rPr>
          <w:rFonts w:ascii="Times New Roman" w:hAnsi="Times New Roman" w:cs="Times New Roman"/>
          <w:sz w:val="28"/>
          <w:szCs w:val="28"/>
        </w:rPr>
      </w:pPr>
    </w:p>
    <w:sectPr w:rsidR="0045252D" w:rsidRPr="0045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C2155"/>
    <w:multiLevelType w:val="multilevel"/>
    <w:tmpl w:val="CCF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D5FA6"/>
    <w:multiLevelType w:val="multilevel"/>
    <w:tmpl w:val="3B70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E4693"/>
    <w:multiLevelType w:val="multilevel"/>
    <w:tmpl w:val="5BAC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B596F"/>
    <w:multiLevelType w:val="multilevel"/>
    <w:tmpl w:val="8DA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43632">
    <w:abstractNumId w:val="1"/>
  </w:num>
  <w:num w:numId="2" w16cid:durableId="515965426">
    <w:abstractNumId w:val="0"/>
  </w:num>
  <w:num w:numId="3" w16cid:durableId="894045213">
    <w:abstractNumId w:val="2"/>
  </w:num>
  <w:num w:numId="4" w16cid:durableId="1289554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FC"/>
    <w:rsid w:val="000D74F0"/>
    <w:rsid w:val="001E12FC"/>
    <w:rsid w:val="0045252D"/>
    <w:rsid w:val="00554DE3"/>
    <w:rsid w:val="00B8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1EDDF"/>
  <w15:chartTrackingRefBased/>
  <w15:docId w15:val="{BD839FAF-E709-4E15-9AB2-E0F195A9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1080</Words>
  <Characters>6161</Characters>
  <Application>Microsoft Office Word</Application>
  <DocSecurity>0</DocSecurity>
  <Lines>51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</cp:revision>
  <dcterms:created xsi:type="dcterms:W3CDTF">2026-10-29T20:05:00Z</dcterms:created>
  <dcterms:modified xsi:type="dcterms:W3CDTF">2026-10-29T20:08:00Z</dcterms:modified>
</cp:coreProperties>
</file>