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</w:pPr>
      <w:r>
        <w:rPr>
          <w:b/>
          <w:sz w:val="24"/>
        </w:rPr>
        <w:t>Рассказчик 1</w:t>
      </w:r>
    </w:p>
    <w:p>
      <w:pPr>
        <w:keepNext/>
        <w:keepLines/>
      </w:pPr>
      <w:r>
        <w:rPr>
          <w:b/>
          <w:sz w:val="24"/>
        </w:rPr>
        <w:t>Слайд 1. Анализ веб-ресурса ptsecurity.com/about/</w:t>
      </w:r>
    </w:p>
    <w:p>
      <w:pPr>
        <w:keepLines/>
      </w:pPr>
      <w:r>
        <w:rPr>
          <w:sz w:val="24"/>
        </w:rPr>
        <w:t>Здравствуйте! Тема нашего выступления — требования российских нормативных правовых актов к веб-сайтам. В качестве варианта мы рассматриваем раздел «О компании» сайта Positive Technologies — ptsecurity.com/about/.</w:t>
      </w:r>
    </w:p>
    <w:p>
      <w:r>
        <w:rPr>
          <w:sz w:val="24"/>
        </w:rPr>
        <w:t>На примере этого ресурса мы разберём обработку персональных данных, использование cookie, хранение и защиту информации, действия при появлении запрещённого контента, взаимодействие с Роскомнадзором и основные рекомендации по соблюдению требований.</w:t>
      </w:r>
    </w:p>
    <w:p>
      <w:pPr>
        <w:keepNext/>
        <w:keepLines/>
      </w:pPr>
      <w:r>
        <w:rPr>
          <w:b/>
          <w:sz w:val="24"/>
        </w:rPr>
        <w:t>Слайд 2. Выбранный веб-ресурс</w:t>
      </w:r>
    </w:p>
    <w:p>
      <w:pPr>
        <w:keepLines/>
      </w:pPr>
      <w:r>
        <w:rPr>
          <w:sz w:val="24"/>
        </w:rPr>
        <w:t>Выбранный ресурс принадлежит АО «Позитив Текнолоджиз». Это корпоративный сайт ИТ-компании, которая занимается решениями в области кибербезопасности. На слайде также указаны ИНН и ОГРН организации.</w:t>
      </w:r>
    </w:p>
    <w:p>
      <w:r>
        <w:rPr>
          <w:sz w:val="24"/>
        </w:rPr>
        <w:t>В рамках работы мы анализируем открытые страницы сайта, юридические документы, формы обратной связи, cookie-механизмы и сторонние скрипты. Для проверки сведений об операторе персональных данных используется портал Роскомнадзора, где поиск можно выполнить по ИНН или названию организации.</w:t>
      </w:r>
    </w:p>
    <w:p>
      <w:pPr>
        <w:keepNext/>
        <w:keepLines/>
      </w:pPr>
      <w:r>
        <w:rPr>
          <w:b/>
          <w:sz w:val="24"/>
        </w:rPr>
        <w:t>Слайд 3. Краткое описание веб-ресурса</w:t>
      </w:r>
    </w:p>
    <w:p>
      <w:pPr>
        <w:keepLines/>
      </w:pPr>
      <w:r>
        <w:rPr>
          <w:sz w:val="24"/>
        </w:rPr>
        <w:t>Раздел ptsecurity.com/about/ используется для публичного представления компании. Через сайт пользователь получает информацию о продуктах, исследованиях, новостях, мероприятиях, вакансиях и способах связи с организацией.</w:t>
      </w:r>
    </w:p>
    <w:p>
      <w:r>
        <w:rPr>
          <w:sz w:val="24"/>
        </w:rPr>
        <w:t>С точки зрения обработки данных здесь можно выделить несколько блоков: информационные страницы, коммуникацию с пользователем через формы и заявки, юридические документы, а также технический контур. К техническим данным относятся, например, cookie, IP-адрес, сведения об устройстве, журналы сервера и возможная веб-аналитика.</w:t>
      </w:r>
    </w:p>
    <w:p>
      <w:pPr>
        <w:keepNext/>
        <w:keepLines/>
      </w:pPr>
      <w:r>
        <w:rPr>
          <w:b/>
          <w:sz w:val="24"/>
        </w:rPr>
        <w:t>Слайд 4. Функции сайта и собираемые данные</w:t>
      </w:r>
    </w:p>
    <w:p>
      <w:pPr>
        <w:keepLines/>
      </w:pPr>
      <w:r>
        <w:rPr>
          <w:sz w:val="24"/>
        </w:rPr>
        <w:t>При обычном просмотре страниц могут обрабатываться IP-адрес, cookie ID, user-agent, URL и время посещения. Эти сведения могут использоваться для работы сайта, обеспечения безопасности и статистики.</w:t>
      </w:r>
    </w:p>
    <w:p>
      <w:r>
        <w:rPr>
          <w:sz w:val="24"/>
        </w:rPr>
        <w:t>Если пользователь заполняет форму обращения или заявку, набор данных расширяется: это ФИО, email, телефон, компания, должность и текст сообщения. Для подписок и мероприятий могут использоваться email, ФИО и организация, а для вакансий — контакты, резюме и сведения об опыте работы.</w:t>
      </w:r>
    </w:p>
    <w:p>
      <w:r>
        <w:rPr>
          <w:sz w:val="24"/>
        </w:rPr>
        <w:t>Отдельно нужно учитывать сторонние сервисы и скрипты, которые могут получать идентификаторы cookie, данные о посещениях и другие технические параметры. Для каждой такой обработки необходимо определить цель, правовое основание и, когда это требуется, получить согласие пользователя.</w:t>
      </w:r>
    </w:p>
    <w:p>
      <w:pPr>
        <w:keepNext/>
        <w:keepLines/>
      </w:pPr>
      <w:r>
        <w:rPr>
          <w:b/>
          <w:sz w:val="24"/>
        </w:rPr>
        <w:t>Слайд 5. НПА, применимые к сайту</w:t>
      </w:r>
    </w:p>
    <w:p>
      <w:pPr>
        <w:keepLines/>
      </w:pPr>
      <w:r>
        <w:rPr>
          <w:sz w:val="24"/>
        </w:rPr>
        <w:t>Основным нормативным актом для персональных данных является Федеральный закон №152-ФЗ. В презентации выделены статьи 5, 6, 9, 18.1 и 22: они связаны с целями и основаниями обработки, согласием, политикой обработки персональных данных и уведомлением Роскомнадзора.</w:t>
      </w:r>
    </w:p>
    <w:p>
      <w:r>
        <w:rPr>
          <w:sz w:val="24"/>
        </w:rPr>
        <w:t>Для хранения данных граждан России отдельно отмечена часть 5 статьи 18 152-ФЗ — первичная запись, накопление, хранение и извлечение должны осуществляться с использованием баз данных, находящихся на территории России. Для защиты информационных систем персональных данных также указаны статья 19 152-ФЗ, Постановление Правительства №1119 и приказ ФСТЭК №21.</w:t>
      </w:r>
    </w:p>
    <w:p>
      <w:r>
        <w:rPr>
          <w:sz w:val="24"/>
        </w:rPr>
        <w:t>Cookie подпадают под требования законодательства о персональных данных в тех случаях, когда позволяют идентифицировать пользователя. А вопросы запрещённой информации рассматриваются с учётом Федерального закона №149-ФЗ, в частности статей 15.1 и 15.3.</w:t>
      </w:r>
    </w:p>
    <w:p>
      <w:pPr>
        <w:keepNext/>
        <w:keepLines/>
      </w:pPr>
      <w:r>
        <w:rPr>
          <w:b/>
          <w:sz w:val="24"/>
        </w:rPr>
        <w:t>Слайд 6. Группы персональных данных</w:t>
      </w:r>
    </w:p>
    <w:p>
      <w:pPr>
        <w:keepLines/>
      </w:pPr>
      <w:r>
        <w:rPr>
          <w:sz w:val="24"/>
        </w:rPr>
        <w:t>Для удобства анализа мы разделили данные на несколько групп. Первая группа — идентификационные сведения: ФИО, компания, должность и место работы. Вторая — контактные данные: email, телефон и другие данные для связи.</w:t>
      </w:r>
    </w:p>
    <w:p>
      <w:r>
        <w:rPr>
          <w:sz w:val="24"/>
        </w:rPr>
        <w:t>Также выделяются технические сведения — IP-адрес, cookie, user-agent, устройство, время посещения и источник перехода; профессиональные сведения — резюме, опыт работы и навыки; коммуникационные данные — текст обращения, вложения и история переписки.</w:t>
      </w:r>
    </w:p>
    <w:p>
      <w:r>
        <w:rPr>
          <w:sz w:val="24"/>
        </w:rPr>
        <w:t>Отдельная категория — согласия и журналы: дата и время согласия, версия политики и факт отзыва. Такое разделение помогает понять, какие именно данные связаны с каждой функцией сайта. Далее мой коллега расскажет, как должны быть оформлены согласия, cookie и организационные меры.</w:t>
      </w:r>
    </w:p>
    <w:p>
      <w:pPr>
        <w:keepNext/>
        <w:keepLines/>
      </w:pPr>
      <w:r>
        <w:rPr>
          <w:b/>
          <w:sz w:val="24"/>
        </w:rPr>
        <w:t>Рассказчик 2</w:t>
      </w:r>
    </w:p>
    <w:p>
      <w:pPr>
        <w:keepNext/>
        <w:keepLines/>
      </w:pPr>
      <w:r>
        <w:rPr>
          <w:b/>
          <w:sz w:val="24"/>
        </w:rPr>
        <w:t>Слайд 7. Формы, согласия и документы</w:t>
      </w:r>
    </w:p>
    <w:p>
      <w:pPr>
        <w:keepLines/>
      </w:pPr>
      <w:r>
        <w:rPr>
          <w:sz w:val="24"/>
        </w:rPr>
        <w:t>На сайте необходимо проверить наличие документов и механизмов, связанных с обработкой персональных данных. В презентации перечислены политика обработки и защиты персональных данных, согласие под каждой формой, сведения об операторе и порядок отзыва согласия, уточнения и удаления данных.</w:t>
      </w:r>
    </w:p>
    <w:p>
      <w:r>
        <w:rPr>
          <w:sz w:val="24"/>
        </w:rPr>
        <w:t>Для рекламной рассылки и маркетинговых сообщений должно использоваться отдельное добровольное согласие. Также важно указать сроки хранения данных и категории третьих лиц или обработчиков, если им передаётся информация.</w:t>
      </w:r>
    </w:p>
    <w:p>
      <w:r>
        <w:rPr>
          <w:sz w:val="24"/>
        </w:rPr>
        <w:t>На слайде приведён пример формулировки под формой: пользователь подтверждает согласие на обработку данных именно для ответа на обращение и отдельно выбирает получение рекламы. Важный момент — согласие не должно быть заранее отмечено за пользователя.</w:t>
      </w:r>
    </w:p>
    <w:p>
      <w:pPr>
        <w:keepNext/>
        <w:keepLines/>
      </w:pPr>
      <w:r>
        <w:rPr>
          <w:b/>
          <w:sz w:val="24"/>
        </w:rPr>
        <w:t>Слайд 8. Cookie и веб-аналитика</w:t>
      </w:r>
    </w:p>
    <w:p>
      <w:pPr>
        <w:keepLines/>
      </w:pPr>
      <w:r>
        <w:rPr>
          <w:sz w:val="24"/>
        </w:rPr>
        <w:t>Cookie в работе разделены на четыре группы. Необходимые cookie отвечают за сессию, безопасность, балансировку и сохранение настроек. Они могут работать без отдельной галочки, но пользователь должен быть проинформирован об их назначении.</w:t>
      </w:r>
    </w:p>
    <w:p>
      <w:r>
        <w:rPr>
          <w:sz w:val="24"/>
        </w:rPr>
        <w:t>Аналитические cookie используются для статистики посещений и анализа источников переходов. В презентации рекомендуется включать их после согласия пользователя или предоставлять возможность отключения. Маркетинговые cookie, например рекламные пиксели и профилирование, требуют отдельного согласия.</w:t>
      </w:r>
    </w:p>
    <w:p>
      <w:r>
        <w:rPr>
          <w:sz w:val="24"/>
        </w:rPr>
        <w:t>Для сторонних виджетов — карт, чатов, видео и социальных сетей — дополнительно нужно проверить передачу данных третьим лицам. В cookie-баннере пользователю предлагается выбор: принять все, настроить параметры или оставить только необходимые cookie.</w:t>
      </w:r>
    </w:p>
    <w:p>
      <w:pPr>
        <w:keepNext/>
        <w:keepLines/>
      </w:pPr>
      <w:r>
        <w:rPr>
          <w:b/>
          <w:sz w:val="24"/>
        </w:rPr>
        <w:t>Слайд 9. Хранение и защита персональных данных</w:t>
      </w:r>
    </w:p>
    <w:p>
      <w:pPr>
        <w:keepLines/>
      </w:pPr>
      <w:r>
        <w:rPr>
          <w:sz w:val="24"/>
        </w:rPr>
        <w:t>Следующий блок — хранение данных. В презентации указано, что базы с персональными данными граждан России должны находиться на территории России. Для каждой цели обработки — заявка, рассылка, вакансия или договор — необходимо определить свой срок хранения.</w:t>
      </w:r>
    </w:p>
    <w:p>
      <w:r>
        <w:rPr>
          <w:sz w:val="24"/>
        </w:rPr>
        <w:t>После достижения цели данные должны быть удалены, обезличены либо сохранены в архиве при наличии законного основания. Кроме того, рекомендуется вести журнал согласий, отзывов и обращений субъектов персональных данных.</w:t>
      </w:r>
    </w:p>
    <w:p>
      <w:r>
        <w:rPr>
          <w:sz w:val="24"/>
        </w:rPr>
        <w:t>К мерам защиты относятся назначение ответственного, разграничение прав доступа, применение MFA для администраторов, журналирование действий, резервное копирование и проверка восстановления. Также важны регулярный контроль уязвимостей и проверка сторонних скриптов.</w:t>
      </w:r>
    </w:p>
    <w:p>
      <w:pPr>
        <w:keepNext/>
        <w:keepLines/>
      </w:pPr>
      <w:r>
        <w:rPr>
          <w:b/>
          <w:sz w:val="24"/>
        </w:rPr>
        <w:t>Слайд 10. Взаимодействие с Роскомнадзором</w:t>
      </w:r>
    </w:p>
    <w:p>
      <w:pPr>
        <w:keepLines/>
      </w:pPr>
      <w:r>
        <w:rPr>
          <w:sz w:val="24"/>
        </w:rPr>
        <w:t>Взаимодействие с Роскомнадзором зависит от ситуации. При обработке персональных данных оператор направляет уведомление до начала обработки, если к нему не применяется предусмотренное законом исключение. При изменении сведений в уведомлении их необходимо актуализировать.</w:t>
      </w:r>
    </w:p>
    <w:p>
      <w:r>
        <w:rPr>
          <w:sz w:val="24"/>
        </w:rPr>
        <w:t>На слайде указано, что изменения сообщаются не позднее 15-го числа следующего месяца. При прекращении обработки также направляется соответствующая информация. При инциденте с персональными данными первичное уведомление направляется в течение 24 часов, а результаты внутреннего расследования — в течение 72 часов.</w:t>
      </w:r>
    </w:p>
    <w:p>
      <w:r>
        <w:rPr>
          <w:sz w:val="24"/>
        </w:rPr>
        <w:t>Если на сайте выявлена запрещённая информация, необходимо удалить страницу или ограничить к ней доступ, очистить кеш и подтвердить исполнение требования. Роскомнадзор также может направлять уведомления по реестру операторов, обработке персональных данных и инцидентам.</w:t>
      </w:r>
    </w:p>
    <w:p>
      <w:pPr>
        <w:keepNext/>
        <w:keepLines/>
      </w:pPr>
      <w:r>
        <w:rPr>
          <w:b/>
          <w:sz w:val="24"/>
        </w:rPr>
        <w:t>Слайд 11. Риски и пример ответа в Роскомнадзор</w:t>
      </w:r>
    </w:p>
    <w:p>
      <w:pPr>
        <w:keepLines/>
      </w:pPr>
      <w:r>
        <w:rPr>
          <w:sz w:val="24"/>
        </w:rPr>
        <w:t>Основные риски для сайта перечислены на слайде. Среди них — сбор лишних данных без понятной цели, работа cookie и аналитики без уведомления пользователя, объединение обязательного согласия с рекламной рассылкой, а также использование устаревших или уязвимых скриптов.</w:t>
      </w:r>
    </w:p>
    <w:p>
      <w:r>
        <w:rPr>
          <w:sz w:val="24"/>
        </w:rPr>
        <w:t>Отдельный риск связан со взломом сайта, когда злоумышленник может разместить фишинговую страницу или другой запрещённый материал. Поэтому у организации должен быть заранее определён ответственный и порядок действий при получении требования Роскомнадзора.</w:t>
      </w:r>
    </w:p>
    <w:p>
      <w:r>
        <w:rPr>
          <w:sz w:val="24"/>
        </w:rPr>
        <w:t>В пример ответа включаются номер уведомления, адрес проверенной страницы, дата и время удаления или ограничения доступа, информация об очистке кеша и повторной проверке. Дополнительно перечисляются принятые меры: блокировка источника размещения, изменение прав доступа и проведение служебной проверки. В качестве подтверждения можно приложить скриншоты исполнения.</w:t>
      </w:r>
    </w:p>
    <w:p>
      <w:pPr>
        <w:keepNext/>
        <w:keepLines/>
      </w:pPr>
      <w:r>
        <w:rPr>
          <w:b/>
          <w:sz w:val="24"/>
        </w:rPr>
        <w:t>Слайд 12. Источники</w:t>
      </w:r>
    </w:p>
    <w:p>
      <w:pPr>
        <w:keepLines/>
      </w:pPr>
      <w:r>
        <w:rPr>
          <w:sz w:val="24"/>
        </w:rPr>
        <w:t>При подготовке использовались Федеральный закон №152-ФЗ «О персональных данных», Федеральный закон №149-ФЗ «Об информации, информационных технологиях и о защите информации», Постановление Правительства №1119 и приказ ФСТЭК России №21.</w:t>
      </w:r>
    </w:p>
    <w:p>
      <w:r>
        <w:rPr>
          <w:sz w:val="24"/>
        </w:rPr>
        <w:t>Также использовались портал персональных данных Роскомнадзора, сайт Positive Technologies, политика обработки и защиты персональных данных и раздел юридической информации компании.</w:t>
      </w:r>
    </w:p>
    <w:p>
      <w:r>
        <w:rPr>
          <w:sz w:val="24"/>
        </w:rPr>
        <w:t>Главный вывод нашей работы: для веб-сайта недостаточно только разместить политику конфиденциальности. Необходимо связать каждую функцию сайта с конкретной целью и основанием обработки, корректно организовать согласия и cookie, определить сроки хранения, обеспечить защиту данных и иметь понятный порядок взаимодействия с Роскомнадзором. Спасибо за внимание!</w:t>
      </w:r>
    </w:p>
    <w:sectPr w:rsidR="00B82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73"/>
    <w:rsid w:val="00554DE3"/>
    <w:rsid w:val="005B6B73"/>
    <w:rsid w:val="00B82224"/>
    <w:rsid w:val="00DB599A"/>
    <w:rsid w:val="00DB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AB4F47-24EE-45EF-B276-91E3F8C8D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к презентации: анализ веб-ресурса ptsecurity.com/about/</dc:title>
  <dc:subject>Текст выступления для двух рассказчиков</dc:subject>
  <dc:creator>Maks</dc:creator>
  <cp:keywords/>
  <dc:description/>
  <cp:lastModifiedBy>Maks</cp:lastModifiedBy>
  <cp:revision>2</cp:revision>
  <dcterms:created xsi:type="dcterms:W3CDTF">2026-10-01T17:14:00Z</dcterms:created>
  <dcterms:modified xsi:type="dcterms:W3CDTF">2026-10-01T17:14:00Z</dcterms:modified>
</cp:coreProperties>
</file>