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ejecutivo S5 · Camposol Chao</w:t>
      </w:r>
    </w:p>
    <w:p>
      <w:pPr>
        <w:pStyle w:val="Heading2"/>
      </w:pPr>
      <w:r>
        <w:t>1 Contexto, alcance y dirección</w:t>
      </w:r>
    </w:p>
    <w:p>
      <w:r>
        <w:t>v0.2 · 2026-10-15 · ROL-EA propuesto · Borrador académico condicionado</w:t>
      </w:r>
    </w:p>
    <w:p>
      <w:r>
        <w:t>VS01 — Aseguramiento de fruta exportable: recepción de bins → selección/calibrado → empaque → pre-frío según ruta → cámara → carga, precintado y entrega del FCL refrigerado al transportista en rampa.</w:t>
      </w:r>
    </w:p>
    <w:p>
      <w:r>
        <w:t>El expediente amplía Preliminary y Phase A con una arquitectura de negocio propuesta. PC1 corregida es el antecedente vigente. G-A-BCD permanece pendiente: la continuación académica no acredita autorización empresarial. Campo, puertos, transporte marítimo y ERP corporativo quedan fuera; transportista es receptor inmediato y cliente internacional beneficiario final.</w:t>
      </w:r>
    </w:p>
    <w:p>
      <w:r>
        <w:t>OUT01 orienta integridad y oportunidad de historia/evidencia; OUT-A01 claridad de handoffs; OUT-A02 coordinación y excepciones. PR-01 evidencia; PR-02 identidad/custodia; PR-03 responsabilidad y acceso; PR-04 medición comparable; PR-05 tecnología revisable; PR-06 continuidad segura. REQ-01…07 conservan significado y se refinan en el maestro transversal.</w:t>
      </w:r>
    </w:p>
    <w:p>
      <w:r>
        <w:t>HP es hecho público con alcance; IA escenario asistido; SV supuesto; DE propuesta; NV faltante y NE no evaluado. Ningún dato DS de Del Monte o cifra de T&amp;G se atribuye a Camposol. El contexto público no demuestra una falla de Chao. No hubo entrevistas, mediciones ni pruebas operativas.</w:t>
      </w:r>
    </w:p>
    <w:p>
      <w:r>
        <w:t>Se mantienen seis capacidades y siete unidades comparables; dos brechas son del escenario IA y cinco candidatos necesitan evidencia. El mínimo de cinco gaps operativos sustentados no se declara satisfecho. El expediente sirve para revisar hipótesis y preparar validación, no para ejecutar un proyecto.</w:t>
      </w:r>
    </w:p>
    <w:p>
      <w:r>
        <w:br w:type="page"/>
      </w:r>
    </w:p>
    <w:p>
      <w:pPr>
        <w:pStyle w:val="Title"/>
      </w:pPr>
      <w:r>
        <w:t>Resumen ejecutivo S5 · Camposol Chao</w:t>
      </w:r>
    </w:p>
    <w:p>
      <w:pPr>
        <w:pStyle w:val="Heading2"/>
      </w:pPr>
      <w:r>
        <w:t>2 Baseline y Target comparables</w:t>
      </w:r>
    </w:p>
    <w:p>
      <w:r>
        <w:t>v0.2 · 2026-10-15 · ROL-EA propuesto · Borrador académico condicionado</w:t>
      </w:r>
    </w:p>
    <w:p>
      <w:r>
        <w:t>B-01 integra fichas de siete unidades con la misma granularidad. B-04 Criterios conserva evidencia, diferencia y aceptación; Registro decide tratamiento propuesto; Matriz contrasta Baseline×Target.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422"/>
      </w:tblGrid>
      <w:tr>
        <w:trPr>
          <w:cantSplit/>
          <w:tblHeader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Unidad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Baseline → Target DE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U-B01 Identidad y genealogía bin–batch–pallet–FCL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NE. Posible fragmentación SV-01; no demuestra identidades huérfanas reales. → Mantener vínculos y divisiones/agrupaciones con procedencia y sin huérfanos en cada caso acordado.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U-B02 Reconstrucción de historia por solicitud completa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120 min por solicitud completa [IA-01]; baseline real NE. → Cada caso acordado ≤30 min desde solicitud completa hasta historia revisada por Calidad; incompleto falla.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U-B03 Cobertura térmica y custodia por pallet despachado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65% por pallet [IA-01/06]; normalización sintética, no deducida de registros en papel; real NE. → KPI-02 ≥95% solo con serie válida, identidad y custodia desde tramo frío aplicable hasta handoff; faltante no es éxito.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U-B04 Captura y reconciliación de eventos ante corte externo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NE. Capacidades de captura local existentes y efecto de cada tramo de red no conocidos. → Conservar eventos esperados y reconciliar sin pérdida, duplicación efectiva ni huérfanos ante corte externo acordado.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U-B05 Handoff y decisiones de calidad/despacho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NE. Autoridades, documentos y reglas locales pendientes; no prueba confusión real de estados. → Emisor/receptor, unidad, información, aceptación y excepción explícitos; liberación de Calidad y condición de Despacho independientes.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U-B06 Medición operativa y responsabilidad de evidencia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 adopción operativa. A ya define KPI-01/02/03; no afirmar que no existen definiciones. → Cada medida usa población, unidad, fuente, owner y estado; protocolo de revisión y de alternativas documentado.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U-B07 Acceso autorizado y auditoría de evidencia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NE. Permisos y retención locales no verificados; no afirmar ausencia de controles. → Permitir casos autorizados, rechazar los no autorizados y conservar actor/tiempo/acción; retención y alcance por acordar.</w:t>
            </w:r>
          </w:p>
        </w:tc>
      </w:tr>
    </w:tbl>
    <w:p/>
    <w:p>
      <w:r>
        <w:t>Included retiene las siete unidades; Modify describe cambio propuesto, sin confirmar un defecto. No hay eliminación. New* formaliza responsabilidad de medición en U-B06 en el diseño; no prueba que esa función no exista hoy. Validar primero; si lo existente cumple, cerrar candidato sin forzar cambio.</w:t>
      </w:r>
    </w:p>
    <w:p>
      <w:r>
        <w:br w:type="page"/>
      </w:r>
    </w:p>
    <w:p>
      <w:pPr>
        <w:pStyle w:val="Title"/>
      </w:pPr>
      <w:r>
        <w:t>Resumen ejecutivo S5 · Camposol Chao</w:t>
      </w:r>
    </w:p>
    <w:p>
      <w:pPr>
        <w:pStyle w:val="Heading2"/>
      </w:pPr>
      <w:r>
        <w:t>3 Capacidades y valor por etapa</w:t>
      </w:r>
    </w:p>
    <w:p>
      <w:r>
        <w:t>v0.2 · 2026-10-15 · ROL-EA propuesto · Borrador académico condicionado</w:t>
      </w:r>
    </w:p>
    <w:p>
      <w:r>
        <w:t>B-02 mantiene escala 1 Inicial / 2 Parcial / 3 Gestionada. Baseline real de las seis capacidades es NE. Solo los scores IA focales admiten diferencias numéricas dentro de ese escenario; no promediar madurez de planta ni convertir a 0–4.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422"/>
      </w:tblGrid>
      <w:tr>
        <w:trPr>
          <w:cantSplit/>
          <w:tblHeader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Capacidad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Escenario → Target / owner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C4 Traceability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1→3; Δ2 IA / STK-02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H1 Operational Data Integration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1→3; Δ2 IA / STK-04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C3 Cold Chain Management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2→3; Δ1 IA / STK-03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CAP-A01 Coordinación de handoffs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NE→3; ΔNE / STK-01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CAP-A02 Medición del desempeño y mejora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NE→3; ΔNE / ROL-MC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CAP-A03 Gestión de excepciones de negocio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NE→3; ΔNE / STK-01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422"/>
      </w:tblGrid>
      <w:tr>
        <w:trPr>
          <w:cantSplit/>
          <w:tblHeader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Stage VS01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Capacidades primarias / valor propuesto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S1 Recepción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C4, CAP-A01: identidad y aceptación inicial.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S2 Calibrado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C4, H1, CAP-A01: vínculos de división/agrupación.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S3 Empaque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C4, H1, CAP-A01: consolidación del pallet.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S4 Pre-frío según ruta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C4, C3, CAP-A01/A03: frío aplicable y excepciones.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S5 Cámara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C4, C3, CAP-A01/A03: evidencia térmica y custodia.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S6 Entrega FCL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Las seis: historia, estados, evidencia y aceptación.</w:t>
            </w:r>
          </w:p>
        </w:tc>
      </w:tr>
    </w:tbl>
    <w:p/>
    <w:p>
      <w:r>
        <w:t>B-03 registra seis stages: recepción; selección/calibrado; empaque; pre-frío según ruta; cámara; carga/precinto/entrega FCL en rampa. C4/H1 correlacionan identidad/eventos; C3 preserva evidencia térmica en tramo aplicable; CAP-A01 coordina handoffs; A02 mide; A03 gestiona excepciones. P/S señala participación propuesta, no madurez.</w:t>
      </w:r>
    </w:p>
    <w:p>
      <w:r>
        <w:t>KPI-01: 120 min IA→≤30 min DE por solicitud completa e historia revisada. KPI-02: 65% IA→≥95% DE por pallet, con serie y custodia; fuente NV-05/07. KPI-03: 0% SV→≥90% DE por evento esperado único, denominador independiente. Semanas 8/16 son deseos de eventual piloto, no calendario de arquitectura. Prioridad alta responde a dependencias/criterios, no a incidentes medidos.</w:t>
      </w:r>
    </w:p>
    <w:p>
      <w:r>
        <w:br w:type="page"/>
      </w:r>
    </w:p>
    <w:p>
      <w:pPr>
        <w:pStyle w:val="Title"/>
      </w:pPr>
      <w:r>
        <w:t>Resumen ejecutivo S5 · Camposol Chao</w:t>
      </w:r>
    </w:p>
    <w:p>
      <w:pPr>
        <w:pStyle w:val="Heading2"/>
      </w:pPr>
      <w:r>
        <w:t>4 Brechas, requisitos y aceptación</w:t>
      </w:r>
    </w:p>
    <w:p>
      <w:r>
        <w:t>v0.2 · 2026-10-15 · ROL-EA propuesto · Borrador académico condicionado</w:t>
      </w:r>
    </w:p>
    <w:p>
      <w:r>
        <w:t>GAP-B02 historia y GAP-B03 cobertura térmica son brechas de escenario IA. GAP-B01 identidad, B04 reconciliación, B05 handoffs, B06 adopción de medición y B07 acceso son candidatos NV/SV. No existe brecha empresarial confirmada en esta elaboración; ausencia de información no prueba falla.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422"/>
      </w:tblGrid>
      <w:tr>
        <w:trPr>
          <w:cantSplit/>
          <w:tblHeader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Gap → requisito → aceptación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Tratamiento / owner propuestos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GAP-B01 → REQ-01 → AC-B01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Resolve / STK-02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GAP-B02 → REQ-02 → AC-B02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Resolve / STK-02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GAP-B03 → REQ-04 → AC-B04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Resolve / STK-03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GAP-B04 → REQ-03 → AC-B03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Resolve / STK-04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GAP-B05 → REQ-06 → AC-B06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Resolve / STK-06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GAP-B06 → REQ-07 → AC-B07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Resolve / ROL-MC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GAP-B07 → REQ-05 → AC-B05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Defer / STK-04</w:t>
            </w:r>
          </w:p>
        </w:tc>
      </w:tr>
    </w:tbl>
    <w:p/>
    <w:p>
      <w:r>
        <w:t>AC-B01 contrasta genealogía sin huérfanos; AC-B02 cronometra cada historia completa; AC-B03 compara eventos esperados/persistidos/reconciliados; AC-B04 calcula cobertura con denominador independiente; AC-B05 prueba permisos y auditoría; AC-B06 distingue estados y aceptación de traspasos; AC-B07 valida fichas KPI y evaluación A/B/C. Son pruebas previstas, no ejecutadas.</w:t>
      </w:r>
    </w:p>
    <w:p>
      <w:r>
        <w:t>Resolve en B01…06 es propuesta condicionada. Defer B07 posterga detalle C/D, conserva requisito y accountability de negocio; no acepta riesgo como aprobado. Si Target no es factible, evaluar Revise Target/Defer con impacto y autoridad. B-07 se regenera desde Requirements_Catalog.csv v0.2 por ID y no se edita como catálogo independiente.</w:t>
      </w:r>
    </w:p>
    <w:p>
      <w:r>
        <w:br w:type="page"/>
      </w:r>
    </w:p>
    <w:p>
      <w:pPr>
        <w:pStyle w:val="Title"/>
      </w:pPr>
      <w:r>
        <w:t>Resumen ejecutivo S5 · Camposol Chao</w:t>
      </w:r>
    </w:p>
    <w:p>
      <w:pPr>
        <w:pStyle w:val="Heading2"/>
      </w:pPr>
      <w:r>
        <w:t>5 Componentes, vistas, repositorio y gate</w:t>
      </w:r>
    </w:p>
    <w:p>
      <w:r>
        <w:t>v0.2 · 2026-10-15 · ROL-EA propuesto · Borrador académico condicionado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422"/>
      </w:tblGrid>
      <w:tr>
        <w:trPr>
          <w:cantSplit/>
          <w:tblHeader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CRC candidato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Agrupación / dependencia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CRC-B01 Genealogía y recuperación de evidencia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GAP-B01;GAP-B02; REQ-01;REQ-02. CRC-B04 (protocolo y fuentes); NV-03/07/08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CRC-B02 Custodia térmica y coordinación de entrega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GAP-B03;GAP-B05; REQ-04;REQ-06. CRC-B01;CRC-B04; NV-05/07/08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CRC-B03 Continuidad de evidencia y acceso gobernado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GAP-B04;GAP-B07; REQ-03;REQ-05. CRC-B01;CRC-B04; NV-01/02/04/07/08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CRC-B04 Gobierno de medición y validación</w:t>
            </w:r>
          </w:p>
        </w:tc>
        <w:tc>
          <w:tcPr>
            <w:tcW w:type="dxa" w:w="6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GAP-B06; REQ-07. NV-03/06/07/08; no dependencia circular de otro CRC.</w:t>
            </w:r>
          </w:p>
        </w:tc>
      </w:tr>
    </w:tbl>
    <w:p/>
    <w:p>
      <w:r>
        <w:t>Los cuatro CRC no son proyectos: carecen de proveedor, presupuesto y cronograma de implementación. DEC-01 conserva la alternativa B de nodo como hipótesis reabrible frente a A/C; Phase B no selecciona topología. 265k frente a techo 250k y 14+6 frente a 16 semanas deseadas siguen abiertos. El beneficio bruto IA no es ROI.</w:t>
      </w:r>
    </w:p>
    <w:p>
      <w:r>
        <w:t>B-V01 Baseline hipótesis IA/NE y B-V02 Target DE contienen conceptos comparables bajo VP-B01. Assignment, Realization, Serving, Access y Triggering tienen tipos/direcciones explícitos. XML editable pasa parseo y XSD 3.0; importación en Archi pendiente. SVG/PNG y catálogo B-09 completan vistas. Calidad y Despacho mantienen decisiones y objetos distintos.</w:t>
      </w:r>
    </w:p>
    <w:p>
      <w:r>
        <w:t>Las ocho clases Repository conservan maestros: requisitos, riesgos, decisiones y trazas actualizados; B-02/03/04/08/09 controlan sus registros. TR-B01 historia y TR-B02 térmica resuelven fuente→concern/PR/outcome→CAP/VS→gap→REQ→AC→CRC→vista/DEC e inversa con rutas en Relaciones.csv. La trazabilidad documental no prueba desempeño.</w:t>
      </w:r>
    </w:p>
    <w:p>
      <w:r>
        <w:t>G-B-C: revisión y preparación condicionadas, sin desarrollar C. ROL-EA integra, ROL-AB revisa y STK-01 decide mandato ratificado. Cerrar autorización A, evidencia o límites académicos aceptados, cinco gaps defendibles o adaptación ratificada, owners y NV-03/05/07/08, vistas y requisitos. Decisión/acta/firma pendientes. PDF S5 cinco páginas; DOCX revisión visual pendiente por bloqueo de render.</w:t>
      </w:r>
    </w:p>
    <w:sectPr w:rsidR="00FC693F" w:rsidRPr="0006063C" w:rsidSect="00034616">
      <w:pgSz w:w="11906" w:h="16838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mposol1" Type="http://schemas.openxmlformats.org/officeDocument/2006/relationships/image" Target="media/camposol_1.png"/><Relationship Id="rIdCamposol2" Type="http://schemas.openxmlformats.org/officeDocument/2006/relationships/image" Target="media/camposol_2.png"/><Relationship Id="rIdCamposol3" Type="http://schemas.openxmlformats.org/officeDocument/2006/relationships/image" Target="media/camposol_3.png"/><Relationship Id="rIdCamposol4" Type="http://schemas.openxmlformats.org/officeDocument/2006/relationships/image" Target="media/camposol_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ejecutivo S5 · Camposol Chao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