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Marco de arquitectura adaptado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Camposol S.A. · Planta Packing Chao · Grupo 04 · SI605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Lectura de códigos: PRE es Preliminary y A Phase A; D/DRV driver; OBJ objetivo; OUT resultado; KPI indicador; MED medida candidata; VS value stream; C4/H1/C3 y CAP-A capacidades; C01…06 concerns; STK stakeholder; ROL función; PR principio; REQ requisito; VP viewpoint; VIEW vista; MODEL/M modelo; DEC decisión; CP correspondencia; F fuente. HP: hecho público con fuente y alcance; IA: escenario asistido por IA; SV: supuesto por validar; DE: propuesta/decisión académica; NV: información faltante. NE significa no evaluado, nunca cero. Las propuestas nuevas de este paquete son DE asistidas por IA-07; no se declara acuerdo del equipo.</w:t>
      </w:r>
    </w:p>
    <w:tbl>
      <w:tblPr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CellMar>
          <w:top w:w="14" w:type="dxa"/>
          <w:left w:w="15" w:type="dxa"/>
          <w:bottom w:w="14" w:type="dxa"/>
          <w:right w:w="14" w:type="dxa"/>
        </w:tblCellMar>
        <w:tblW w:w="9314" w:type="dxa"/>
        <w:tblLayout w:type="fixed"/>
      </w:tblPr>
      <w:tblGrid>
        <w:gridCol w:w="2701"/>
        <w:gridCol w:w="6612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Control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Valor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ID / fase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PRE-02 · Preliminary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Versión / estado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v0.2 · Draft académico; propuesta del asistente DE; sin aprobación del equipo ni corporativa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Owner / fecha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ROL-EA Arquitecto líder propuesto · elaboración 2026-10-15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Propósito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Ver sección 1; Marco de arquitectura adaptado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Inputs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PC1; PRE-01 organización; guía S4; Template 2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Outputs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ADM adaptado, metamodelo, productos, checkpoints y control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Base de edición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Template 2.docx; copia del original homónimo, contenido conservado; formato normalizado al patrón de A-02 en v0.2; conciliaciones EQ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Antecedente vigente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03_Architecture_Repository/05_Reference_Library/Antecedentes/PC1_Corregida.docx; 03_Architecture_Repository/05_Reference_Library/Antecedentes/Registro_Correcciones_PC1.md</w:t>
            </w:r>
          </w:p>
        </w:tc>
      </w:tr>
    </w:tbl>
    <w:p>
      <w:pPr>
        <w:pStyle w:val="Heading2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1 Propósito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Adaptar TOGAF al sistema sociotécnico de Chao con profundidad proporcional al riesgo y al valor. Se conserva el foco de procesos, controles, handoffs e información de Template 2 y se incorpora el framing vigente sin predeterminar tecnología.</w:t>
      </w:r>
    </w:p>
    <w:p>
      <w:pPr>
        <w:pStyle w:val="Heading2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2 Alcance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VS01 — Aseguramiento de fruta exportable: recepción de bins → selección/calibrado → empaque → pre-frío según ruta → cámara → carga, precintado y entrega del FCL refrigerado al transportista en rampa.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Una planta y un value stream. Se conservan variantes de recepción de fruta refrigerada y pre-frío según ruta (NV-08). Campo, transporte marítimo, puertos, distribución internacional y rediseño del ERP corporativo quedan fuera. El cliente internacional es beneficiario final; el transportista es receptor inmediato.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Breadth: un value stream. Depth: conceptual transversal con foco en identidad, evidencia térmica/custodia, consulta y continuidad. Time: 2026–2027 como horizonte de referencia propuesto; no compromiso de implementación. Domains: negocio, datos, aplicaciones y tecnología.</w:t>
      </w:r>
    </w:p>
    <w:p>
      <w:pPr>
        <w:pStyle w:val="Heading2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3 Criterios de tailoring</w:t>
      </w:r>
    </w:p>
    <w:tbl>
      <w:tblPr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CellMar>
          <w:top w:w="14" w:type="dxa"/>
          <w:left w:w="15" w:type="dxa"/>
          <w:bottom w:w="14" w:type="dxa"/>
          <w:right w:w="14" w:type="dxa"/>
        </w:tblCellMar>
        <w:tblW w:w="9314" w:type="dxa"/>
        <w:tblLayout w:type="fixed"/>
      </w:tblPr>
      <w:tblGrid>
        <w:gridCol w:w="2701"/>
        <w:gridCol w:w="6612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Criterio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Aplicación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Proporcionalidad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Doce deliverables Preliminary/A y activos necesarios; no productos detallados de B/C/D ahora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Evidencia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HP contextual, IA/SV etiquetados y NV conservados; baseline real NE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Neutralidad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SAP corporativo es contexto HP; interfaz local NV-01. DEC-01 mantiene A/B/C comparables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Gobierno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Checkpoints y gates con propuesta del asistente; ninguna aprobación simulada del equipo</w:t>
            </w:r>
          </w:p>
        </w:tc>
      </w:tr>
    </w:tbl>
    <w:p>
      <w:pPr>
        <w:pStyle w:val="Heading2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4 Adaptación ADM</w:t>
      </w:r>
    </w:p>
    <w:tbl>
      <w:tblPr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CellMar>
          <w:top w:w="14" w:type="dxa"/>
          <w:left w:w="15" w:type="dxa"/>
          <w:bottom w:w="14" w:type="dxa"/>
          <w:right w:w="14" w:type="dxa"/>
        </w:tblCellMar>
        <w:tblW w:w="9314" w:type="dxa"/>
        <w:tblLayout w:type="fixed"/>
      </w:tblPr>
      <w:tblGrid>
        <w:gridCol w:w="2701"/>
        <w:gridCol w:w="6612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Fase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Profundidad y producto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Preliminary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Gobierno EA, método, principios, Repository/Continuum y Request; G-PRE-A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Vision, assessment/readiness, comunicaciones, acuerdo propuesto, definición inicial y escenario; G-A-BCD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B/C/D posteriores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Baseline/Target y gaps por dominio, iterativos según evidencia y riesgo; solo descritos como encargo en A-04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E/F posteriores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Opciones/paquetes/migración se profundizan después; sin Transition Architecture ahora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G/H posteriores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Cumplimiento y cambio durante eventual implementación; no se ejecutan aquí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Gestión de requisitos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Transversal: fuentes, versión, relaciones, criterios y cambios conservados</w:t>
            </w:r>
          </w:p>
        </w:tc>
      </w:tr>
    </w:tbl>
    <w:p>
      <w:pPr>
        <w:pStyle w:val="Heading2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5 Dominios y metamodelo mínimo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Capacidad es lo que se puede hacer; proceso es la secuencia; servicio es comportamiento ofrecido a un consumidor; aplicación es software que puede apoyarlo. C4 no es I1 ni una app. ABB es bloque lógico; SBB es realización concreta, ninguna seleccionada.</w:t>
      </w:r>
    </w:p>
    <w:tbl>
      <w:tblPr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CellMar>
          <w:top w:w="14" w:type="dxa"/>
          <w:left w:w="15" w:type="dxa"/>
          <w:bottom w:w="14" w:type="dxa"/>
          <w:right w:w="14" w:type="dxa"/>
        </w:tblCellMar>
        <w:tblW w:w="9314" w:type="dxa"/>
        <w:tblLayout w:type="fixed"/>
      </w:tblPr>
      <w:tblGrid>
        <w:gridCol w:w="2701"/>
        <w:gridCol w:w="6612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Relación documental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Regla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Fuente→driver→objetivo→outcome/KPI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No inferir una falla desde una fuente de capacidad instalada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Capability→concern→principio→requisito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Cada relación tiene extremos, rationale y ubicación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Viewpoint→view→modelo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Reglas/tipo de modelo y destinatario explícitos; compartir IDs no prueba resultados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Requisito→decisión→archivo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Estado y rationale; vuelta recuperable; modelos y documentos versionados</w:t>
            </w:r>
          </w:p>
        </w:tc>
      </w:tr>
    </w:tbl>
    <w:p>
      <w:pPr>
        <w:pStyle w:val="Heading2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6 Artefactos y notaciones</w:t>
      </w:r>
    </w:p>
    <w:p>
      <w:pPr>
        <w:keepNext w:val="0"/>
        <w:keepLines w:val="0"/>
        <w:pageBreakBefore w:val="0"/>
        <w:widowControl/>
        <w:suppressLineNumbers w:val="0"/>
      </w:pPr>
      <w:r>
        <w:rPr/>
        <w:t>DOCX canónicos en 01_Preliminary/02_Phase_A/05_Phase_B; XLSX de B y CSV transversales en las ocho clases; fuentes SVG y PNG legibles para las cuatro vistas A. MODEL-01 de PC1 conserva ER conceptual; MODEL-02/03/04 siguen planificados. El expediente v0.2 incorpora B-V01/B-V02 en B-06_ArchiMate_Exchange.xml; MODEL-02/03/04 de PC1 siguen planificados y no se entrega BPMN.</w:t>
      </w:r>
    </w:p>
    <w:p>
      <w:pPr>
        <w:keepNext w:val="0"/>
        <w:keepLines w:val="0"/>
        <w:pageBreakBefore w:val="0"/>
        <w:widowControl/>
        <w:suppressLineNumbers w:val="0"/>
      </w:pPr>
      <w:r>
        <w:rPr/>
        <w:t>Las vistas A son mapas conceptuales documentales; sus flechas no se presentan como relaciones formales ArchiMate. Modelado de procesos BPMN y despliegue UML quedan para la fase que corresponda. Viewpoint_Catalog.csv define elementos, reglas, owner y checks.</w:t>
      </w:r>
    </w:p>
    <w:p>
      <w:pPr>
        <w:pStyle w:val="Heading2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7 Calendario y checkpoints</w:t>
      </w:r>
    </w:p>
    <w:tbl>
      <w:tblPr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CellMar>
          <w:top w:w="14" w:type="dxa"/>
          <w:left w:w="15" w:type="dxa"/>
          <w:bottom w:w="14" w:type="dxa"/>
          <w:right w:w="14" w:type="dxa"/>
        </w:tblCellMar>
        <w:tblW w:w="9314" w:type="dxa"/>
        <w:tblLayout w:type="fixed"/>
      </w:tblPr>
      <w:tblGrid>
        <w:gridCol w:w="2701"/>
        <w:gridCol w:w="6612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Ventana propuesta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Salida de revisión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A-S1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Revisar Preliminary/Request, alcance, IDs y reglas de evidencia; G-PRE-A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A-S2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Assessment y escenario; fuentes, incertidumbres y concerns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A-S3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Vision, KPI y modelos conceptuales; revisar límites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A-S4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Comunicaciones y Draft Definition; checks entre modelos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A-S5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Statement, recursos, riesgos y dos cadenas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A-S6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Consolidación, aceptación documental y G-A-BCD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Todas las semanas son propuestas DE relativas a un futuro inicio acordado. La redacción actual del paquete no prueba que hayan transcurrido ni que ocurrieran reuniones. B/C/D usa BC-S1…BC-S6 desde otra autorización; piloto semana8/16 separado.</w:t>
      </w:r>
    </w:p>
    <w:p>
      <w:pPr>
        <w:pStyle w:val="Heading2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8 Versiones cambios y fuentes</w:t>
      </w:r>
    </w:p>
    <w:p>
      <w:pPr>
        <w:keepNext w:val="0"/>
        <w:keepLines w:val="0"/>
        <w:pageBreakBefore w:val="0"/>
        <w:widowControl/>
        <w:suppressLineNumbers w:val="0"/>
      </w:pPr>
      <w:r>
        <w:rPr/>
        <w:t>Estado Draft académico v0.2 del expediente ampliado. Reviewed/Approved requieren evidencia de revisión/decisión del equipo; la comprobación automática del asistente no los asigna. Un cambio de requisito, decisión o frontera registra impacto y rationale; cambios de implementación se someten a autorización separada.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Se usa TOGAF 10 e ISO/IEC/IEEE 42010:2011 según la guía S4. Template 2 citaba 2022: se registra la diferencia en Standards_Register sin afirmar verificación externa de ediciones.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Referencias y estado de revisión</w:t>
      </w:r>
    </w:p>
    <w:p>
      <w:pPr>
        <w:keepNext w:val="0"/>
        <w:keepLines w:val="0"/>
        <w:pageBreakBefore w:val="0"/>
        <w:widowControl/>
        <w:suppressLineNumbers w:val="0"/>
      </w:pPr>
      <w:r>
        <w:rPr/>
        <w:t>Guía S4: 03_Architecture_Repository/05_Reference_Library/SI605_Guia_S4.md; PC1 corregida: 03_Architecture_Repository/05_Reference_Library/Antecedentes/PC1_Corregida.docx y registro 03_Architecture_Repository/05_Reference_Library/Antecedentes/Registro_Correcciones_PC1.md. Fuentes/estatus en 00_Control/Fuentes_y_Evidencias.csv. Catálogos y modelos se localizan en 00_Control/Inventario_artefactos.csv. Phase B se incorpora como borrador condicionado en 05_Phase_B; no se ejecutaron pruebas operativas; revisión/aceptación del equipo pendientes. Paginación DOCX pendiente de inspección visual por bloqueo del render.</w:t>
      </w:r>
    </w:p>
    <w:sectPr>
      <w:pgSz w:w="11906" w:h="16838"/>
      <w:pgMar w:top="1224" w:right="1296" w:bottom="1224" w:left="1296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E9F8C4"/>
    <w:multiLevelType w:val="singleLevel"/>
    <w:tmpl w:val="02E9F8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F0503E"/>
    <w:rsid w:val="2CF0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character" w:styleId="6">
    <w:name w:val="Hyperlink"/>
    <w:basedOn w:val="DefaultParagraphFont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2026-10-09T19:07:00Z</dcterms:created>
  <dc:creator>quint</dc:creator>
  <cp:lastModifiedBy>quint</cp:lastModifiedBy>
  <dcterms:modified xsi:type="dcterms:W3CDTF">2026-10-09T19:12:02Z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41E0425A1433440A8CA9AB1FBAA051EB_11</vt:lpwstr>
  </property>
  <property fmtid="{D5CDD505-2E9C-101B-9397-08002B2CF9AE}" pid="4" name="KSOTemplateDocerSaveRecord">
    <vt:lpwstr>eyJoZGlkIjoiNTQxZDc3Y2ExYWQyOTUwOGZhYzM4MTU1Nzk0YWZkMDAiLCJ1c2VySWQiOiIyNDkxNjI5MzMyNzEyIn0=</vt:lpwstr>
  </property>
</Properties>
</file>