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Title"/>
        <w:keepNext/>
        <w:keepLines w:val="0"/>
        <w:pageBreakBefore w:val="0"/>
        <w:widowControl/>
        <w:suppressLineNumbers w:val="0"/>
      </w:pPr>
      <w:r>
        <w:rPr>
          <w:i w:val="0"/>
          <w:iCs w:val="0"/>
        </w:rPr>
        <w:t xml:space="preserve">Modelo organizacional y RACI</w:t>
      </w:r>
    </w:p>
    <w:p>
      <w:pPr>
        <w:keepNext w:val="0"/>
        <w:keepLines w:val="0"/>
        <w:pageBreakBefore w:val="0"/>
        <w:widowControl/>
        <w:suppressLineNumbers w:val="0"/>
      </w:pPr>
      <w:r>
        <w:rPr>
          <w:i w:val="0"/>
          <w:iCs w:val="0"/>
        </w:rPr>
        <w:t xml:space="preserve">Camposol S.A. · Planta Packing Chao · Grupo 04 · SI605</w:t>
      </w:r>
    </w:p>
    <w:p>
      <w:pPr>
        <w:keepNext w:val="0"/>
        <w:keepLines w:val="0"/>
        <w:pageBreakBefore w:val="0"/>
        <w:widowControl/>
        <w:suppressLineNumbers w:val="0"/>
      </w:pPr>
      <w:r>
        <w:rPr>
          <w:i w:val="0"/>
          <w:iCs w:val="0"/>
        </w:rPr>
        <w:t xml:space="preserve">Lectura de códigos: PRE es Preliminary y A Phase A; D/DRV driver; OBJ objetivo; OUT resultado; KPI indicador; MED medida candidata; VS value stream; C4/H1/C3 y CAP-A capacidades; C01…06 concerns; STK stakeholder; ROL función; PR principio; REQ requisito; VP viewpoint; VIEW vista; MODEL/M modelo; DEC decisión; CP correspondencia; F fuente. HP: hecho público con fuente y alcance; IA: escenario asistido por IA; SV: supuesto por validar; DE: propuesta/decisión académica; NV: información faltante. NE significa no evaluado, nunca cero. Las propuestas nuevas de este paquete son DE asistidas por IA-07; no se declara acuerdo del equipo.</w:t>
      </w:r>
    </w:p>
    <w:tbl>
      <w:tblPr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CellMar>
          <w:top w:w="0" w:type="dxa"/>
          <w:left w:w="0" w:type="dxa"/>
          <w:bottom w:w="0" w:type="dxa"/>
          <w:right w:w="0" w:type="dxa"/>
        </w:tblCellMar>
        <w:tblW w:w="9314" w:type="dxa"/>
        <w:tblLayout w:type="fixed"/>
      </w:tblPr>
      <w:tblGrid>
        <w:gridCol w:w="2701"/>
        <w:gridCol w:w="6612"/>
      </w:tblGrid>
      <w:tr>
        <w:trPr>
          <w:cantSplit/>
          <w:tblHeader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60" w:after="60"/>
            </w:pPr>
            <w:r>
              <w:rPr>
                <w:b/>
              </w:rPr>
              <w:t>Control</w:t>
            </w:r>
          </w:p>
        </w:tc>
        <w:tc>
          <w:tcPr>
            <w:vAlign w:val="center"/>
            <w:tcW w:w="661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60" w:after="60"/>
            </w:pPr>
            <w:r>
              <w:rPr>
                <w:b/>
              </w:rPr>
              <w:t>Valor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ID / fase</w:t>
            </w:r>
          </w:p>
        </w:tc>
        <w:tc>
          <w:tcPr>
            <w:vAlign w:val="center"/>
            <w:tcW w:w="661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PRE-01 · Preliminary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Versión / estado</w:t>
            </w:r>
          </w:p>
        </w:tc>
        <w:tc>
          <w:tcPr>
            <w:vAlign w:val="center"/>
            <w:tcW w:w="661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v0.2 · Draft académico; propuesta del asistente DE; sin aprobación del equipo ni corporativa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Owner / fecha</w:t>
            </w:r>
          </w:p>
        </w:tc>
        <w:tc>
          <w:tcPr>
            <w:vAlign w:val="center"/>
            <w:tcW w:w="661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ROL-EA Arquitecto líder propuesto · elaboración 2026-10-15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Propósito</w:t>
            </w:r>
          </w:p>
        </w:tc>
        <w:tc>
          <w:tcPr>
            <w:vAlign w:val="center"/>
            <w:tcW w:w="661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Ver sección 1; Modelo organizacional y RACI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Inputs</w:t>
            </w:r>
          </w:p>
        </w:tc>
        <w:tc>
          <w:tcPr>
            <w:vAlign w:val="center"/>
            <w:tcW w:w="661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PC1 corregida, alcance, roles y restricciones; Template 1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Outputs</w:t>
            </w:r>
          </w:p>
        </w:tc>
        <w:tc>
          <w:tcPr>
            <w:vAlign w:val="center"/>
            <w:tcW w:w="661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Roles, RACI, capacidad EA, gobierno y recursos propuestos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Base de edición</w:t>
            </w:r>
          </w:p>
        </w:tc>
        <w:tc>
          <w:tcPr>
            <w:vAlign w:val="center"/>
            <w:tcW w:w="661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Template 1.docx; copia del original homónimo, contenido conservado; formato normalizado al patrón de A-02 en v0.2; conciliaciones EQ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Antecedente vigente</w:t>
            </w:r>
          </w:p>
        </w:tc>
        <w:tc>
          <w:tcPr>
            <w:vAlign w:val="center"/>
            <w:tcW w:w="661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03_Architecture_Repository/05_Reference_Library/Antecedentes/PC1_Corregida.docx; 03_Architecture_Repository/05_Reference_Library/Antecedentes/Registro_Correcciones_PC1.md</w:t>
            </w:r>
          </w:p>
        </w:tc>
      </w:tr>
    </w:tbl>
    <w:p>
      <w:pPr>
        <w:pStyle w:val="Heading2"/>
        <w:keepNext/>
        <w:keepLines w:val="0"/>
        <w:pageBreakBefore w:val="0"/>
        <w:widowControl/>
        <w:suppressLineNumbers w:val="0"/>
      </w:pPr>
      <w:r>
        <w:rPr>
          <w:i w:val="0"/>
          <w:iCs w:val="0"/>
        </w:rPr>
        <w:t xml:space="preserve">1 Propósito y alcance</w:t>
      </w:r>
    </w:p>
    <w:p>
      <w:pPr>
        <w:keepNext w:val="0"/>
        <w:keepLines w:val="0"/>
        <w:pageBreakBefore w:val="0"/>
        <w:widowControl/>
        <w:suppressLineNumbers w:val="0"/>
      </w:pPr>
      <w:r>
        <w:rPr>
          <w:i w:val="0"/>
          <w:iCs w:val="0"/>
        </w:rPr>
        <w:t xml:space="preserve">Establecer la estructura organizacional, responsabilidades, mecanismos de decisión y recursos para desarrollar y mantener la arquitectura del aseguramiento del packing de arándanos en Planta Chao. La estructura es una propuesta académica, no un organigrama confirmado.</w:t>
      </w:r>
    </w:p>
    <w:p>
      <w:pPr>
        <w:keepNext w:val="0"/>
        <w:keepLines w:val="0"/>
        <w:pageBreakBefore w:val="0"/>
        <w:widowControl/>
        <w:suppressLineNumbers w:val="0"/>
      </w:pPr>
      <w:r>
        <w:rPr>
          <w:i w:val="0"/>
          <w:iCs w:val="0"/>
        </w:rPr>
        <w:t xml:space="preserve">VS01 — Aseguramiento de fruta exportable: recepción de bins → selección/calibrado → empaque → pre-frío según ruta → cámara → carga, precintado y entrega del FCL refrigerado al transportista en rampa.</w:t>
      </w:r>
    </w:p>
    <w:p>
      <w:pPr>
        <w:keepNext w:val="0"/>
        <w:keepLines w:val="0"/>
        <w:pageBreakBefore w:val="0"/>
        <w:widowControl/>
        <w:suppressLineNumbers w:val="0"/>
      </w:pPr>
      <w:r>
        <w:rPr>
          <w:i w:val="0"/>
          <w:iCs w:val="0"/>
        </w:rPr>
        <w:t xml:space="preserve">Una planta y un value stream. Se conservan variantes de recepción de fruta refrigerada y pre-frío según ruta (NV-08). Campo, transporte marítimo, puertos, distribución internacional y rediseño del ERP corporativo quedan fuera. El cliente internacional es beneficiario final; el transportista es receptor inmediato.</w:t>
      </w:r>
    </w:p>
    <w:p>
      <w:pPr>
        <w:pStyle w:val="Heading2"/>
        <w:keepNext/>
        <w:keepLines w:val="0"/>
        <w:pageBreakBefore w:val="0"/>
        <w:widowControl/>
        <w:suppressLineNumbers w:val="0"/>
      </w:pPr>
      <w:r>
        <w:rPr>
          <w:i w:val="0"/>
          <w:iCs w:val="0"/>
        </w:rPr>
        <w:t xml:space="preserve">2 Organizaciones impactadas y límites</w:t>
      </w:r>
    </w:p>
    <w:tbl>
      <w:tblPr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CellMar>
          <w:top w:w="0" w:type="dxa"/>
          <w:left w:w="0" w:type="dxa"/>
          <w:bottom w:w="0" w:type="dxa"/>
          <w:right w:w="0" w:type="dxa"/>
        </w:tblCellMar>
        <w:tblW w:w="9314" w:type="dxa"/>
        <w:tblLayout w:type="fixed"/>
      </w:tblPr>
      <w:tblGrid>
        <w:gridCol w:w="2701"/>
        <w:gridCol w:w="6612"/>
      </w:tblGrid>
      <w:tr>
        <w:trPr>
          <w:cantSplit/>
          <w:tblHeader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60" w:after="60"/>
            </w:pPr>
            <w:r>
              <w:rPr>
                <w:b/>
              </w:rPr>
              <w:t>Función</w:t>
            </w:r>
          </w:p>
        </w:tc>
        <w:tc>
          <w:tcPr>
            <w:vAlign w:val="center"/>
            <w:tcW w:w="661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60" w:after="60"/>
            </w:pPr>
            <w:r>
              <w:rPr>
                <w:b/>
              </w:rPr>
              <w:t>Intervención propuesta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Sponsor funcional de Operaciones</w:t>
            </w:r>
          </w:p>
        </w:tc>
        <w:tc>
          <w:tcPr>
            <w:vAlign w:val="center"/>
            <w:tcW w:w="661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Propone/decide alcance y recursos cuando se confirme autoridad; NV-08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Architecture Board académico propuesto</w:t>
            </w:r>
          </w:p>
        </w:tc>
        <w:tc>
          <w:tcPr>
            <w:vAlign w:val="center"/>
            <w:tcW w:w="661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Revisa coherencia, conflictos, excepciones y recomienda gates; no comité real acreditado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Arquitecto líder</w:t>
            </w:r>
          </w:p>
        </w:tc>
        <w:tc>
          <w:tcPr>
            <w:vAlign w:val="center"/>
            <w:tcW w:w="661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Integra requisitos, modelos y evidencia; prepara revisiones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Responsable funcional de Operaciones</w:t>
            </w:r>
          </w:p>
        </w:tc>
        <w:tc>
          <w:tcPr>
            <w:vAlign w:val="center"/>
            <w:tcW w:w="661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Revisa secuencia, handoffs y restricciones de packing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Calidad / Frío / Despacho</w:t>
            </w:r>
          </w:p>
        </w:tc>
        <w:tc>
          <w:tcPr>
            <w:vAlign w:val="center"/>
            <w:tcW w:w="661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Validación funcional en su ámbito; liberación no equivale a despacho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Responsable de datos aplicaciones y tecnología IT/OT</w:t>
            </w:r>
          </w:p>
        </w:tc>
        <w:tc>
          <w:tcPr>
            <w:vAlign w:val="center"/>
            <w:tcW w:w="661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Revisión por dominio y gobernanza de acceso/continuidad; no diseña ERP corporativo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Mejora Continua</w:t>
            </w:r>
          </w:p>
        </w:tc>
        <w:tc>
          <w:tcPr>
            <w:vAlign w:val="center"/>
            <w:tcW w:w="661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Coordina medición y revisión de carga administrativa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Custodio del repositorio</w:t>
            </w:r>
          </w:p>
        </w:tc>
        <w:tc>
          <w:tcPr>
            <w:vAlign w:val="center"/>
            <w:tcW w:w="661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Mantiene inventario, respaldos, versiones y recuperación</w:t>
            </w:r>
          </w:p>
        </w:tc>
      </w:tr>
    </w:tbl>
    <w:p>
      <w:pPr>
        <w:keepNext w:val="0"/>
        <w:keepLines w:val="0"/>
        <w:pageBreakBefore w:val="0"/>
        <w:widowControl/>
        <w:suppressLineNumbers w:val="0"/>
      </w:pPr>
      <w:r>
        <w:rPr>
          <w:i w:val="0"/>
          <w:iCs w:val="0"/>
        </w:rPr>
        <w:t xml:space="preserve">Recepción, packing, Calidad, Frío, Despacho y documentación participan por función. Yakuy Minka se conserva como origen externo citado en el framing, sujeto a NV-08; el transportista recibe en rampa. SENASA es interfaz regulatoria de contexto, sin intervención ni aprobación inventada.</w:t>
      </w:r>
    </w:p>
    <w:p>
      <w:pPr>
        <w:pStyle w:val="Heading2"/>
        <w:keepNext/>
        <w:keepLines w:val="0"/>
        <w:pageBreakBefore w:val="0"/>
        <w:widowControl/>
        <w:suppressLineNumbers w:val="0"/>
      </w:pPr>
      <w:r>
        <w:rPr>
          <w:i w:val="0"/>
          <w:iCs w:val="0"/>
        </w:rPr>
        <w:t xml:space="preserve">3 Capacidad de arquitectura y brechas</w:t>
      </w:r>
    </w:p>
    <w:tbl>
      <w:tblPr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CellMar>
          <w:top w:w="0" w:type="dxa"/>
          <w:left w:w="0" w:type="dxa"/>
          <w:bottom w:w="0" w:type="dxa"/>
          <w:right w:w="0" w:type="dxa"/>
        </w:tblCellMar>
        <w:tblW w:w="9314" w:type="dxa"/>
        <w:tblLayout w:type="fixed"/>
      </w:tblPr>
      <w:tblGrid>
        <w:gridCol w:w="2701"/>
        <w:gridCol w:w="6612"/>
      </w:tblGrid>
      <w:tr>
        <w:trPr>
          <w:cantSplit/>
          <w:tblHeader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60" w:after="60"/>
            </w:pPr>
            <w:r>
              <w:rPr>
                <w:b/>
              </w:rPr>
              <w:t>Capacidad EA</w:t>
            </w:r>
          </w:p>
        </w:tc>
        <w:tc>
          <w:tcPr>
            <w:vAlign w:val="center"/>
            <w:tcW w:w="661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60" w:after="60"/>
            </w:pPr>
            <w:r>
              <w:rPr>
                <w:b/>
              </w:rPr>
              <w:t>Baseline y condición objetivo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EA-01 Gobierno y decisiones</w:t>
            </w:r>
          </w:p>
        </w:tc>
        <w:tc>
          <w:tcPr>
            <w:vAlign w:val="center"/>
            <w:tcW w:w="661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NE actual; propuesta: autoridad, RACI y gates con rationale recuperable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EA-02 Método y dominios</w:t>
            </w:r>
          </w:p>
        </w:tc>
        <w:tc>
          <w:tcPr>
            <w:vAlign w:val="center"/>
            <w:tcW w:w="661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NE actual; propuesta: tailoring y responsables de negocio, datos, aplicaciones y tecnología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EA-03 Evidencia y descripción</w:t>
            </w:r>
          </w:p>
        </w:tc>
        <w:tc>
          <w:tcPr>
            <w:vAlign w:val="center"/>
            <w:tcW w:w="661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NE actual; propuesta: modelos con concerns, fuentes y checks de consistencia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EA-04 Custodia y versiones</w:t>
            </w:r>
          </w:p>
        </w:tc>
        <w:tc>
          <w:tcPr>
            <w:vAlign w:val="center"/>
            <w:tcW w:w="661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NE corporativa; archivos académicos materializados en este paquete, inventario y respaldo propuestos</w:t>
            </w:r>
          </w:p>
        </w:tc>
      </w:tr>
    </w:tbl>
    <w:p>
      <w:pPr>
        <w:keepNext w:val="0"/>
        <w:keepLines w:val="0"/>
        <w:pageBreakBefore w:val="0"/>
        <w:widowControl/>
        <w:suppressLineNumbers w:val="0"/>
      </w:pPr>
      <w:r>
        <w:rPr>
          <w:i w:val="0"/>
          <w:iCs w:val="0"/>
        </w:rPr>
        <w:t xml:space="preserve">Estas capacidades permiten hacer arquitectura. No equivalen a C4 Traceability, H1 integración o C3 Cold Chain Management de la operación. El diagnóstico de esas habilidades se conserva en A-01. No se asigna aquí una madurez corporativa 0–4.</w:t>
      </w:r>
    </w:p>
    <w:p>
      <w:pPr>
        <w:pStyle w:val="Heading2"/>
        <w:keepNext/>
        <w:keepLines w:val="0"/>
        <w:pageBreakBefore w:val="0"/>
        <w:widowControl/>
        <w:suppressLineNumbers w:val="0"/>
      </w:pPr>
      <w:r>
        <w:rPr>
          <w:i w:val="0"/>
          <w:iCs w:val="0"/>
        </w:rPr>
        <w:t xml:space="preserve">4 Roles y matriz RACI</w:t>
      </w:r>
    </w:p>
    <w:p>
      <w:pPr>
        <w:keepNext w:val="0"/>
        <w:keepLines w:val="0"/>
        <w:pageBreakBefore w:val="0"/>
        <w:widowControl/>
        <w:suppressLineNumbers w:val="0"/>
      </w:pPr>
      <w:r>
        <w:rPr>
          <w:i w:val="0"/>
          <w:iCs w:val="0"/>
        </w:rPr>
        <w:t xml:space="preserve">R ejecuta; A responde por la decisión; C aporta criterio; I recibe información. Cada fila tiene un A único. Los roles de datos/aplicaciones/tecnología pueden desdoblar STK-04 cuando NV-08 identifique responsables; hoy son funciones propuestas.</w:t>
      </w:r>
    </w:p>
    <w:tbl>
      <w:tblPr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CellMar>
          <w:top w:w="0" w:type="dxa"/>
          <w:left w:w="0" w:type="dxa"/>
          <w:bottom w:w="0" w:type="dxa"/>
          <w:right w:w="0" w:type="dxa"/>
        </w:tblCellMar>
        <w:tblW w:w="9314" w:type="dxa"/>
        <w:tblLayout w:type="fixed"/>
      </w:tblPr>
      <w:tblGrid>
        <w:gridCol w:w="3539"/>
        <w:gridCol w:w="1490"/>
        <w:gridCol w:w="1583"/>
        <w:gridCol w:w="2701"/>
      </w:tblGrid>
      <w:tr>
        <w:trPr>
          <w:cantSplit/>
          <w:tblHeader/>
        </w:trPr>
        <w:tc>
          <w:tcPr>
            <w:vAlign w:val="center"/>
            <w:tcW w:w="3539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60" w:after="60"/>
            </w:pPr>
            <w:r>
              <w:rPr>
                <w:b/>
              </w:rPr>
              <w:t>Actividad</w:t>
            </w:r>
          </w:p>
        </w:tc>
        <w:tc>
          <w:tcPr>
            <w:vAlign w:val="center"/>
            <w:tcW w:w="149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60" w:after="60"/>
            </w:pPr>
            <w:r>
              <w:rPr>
                <w:b/>
              </w:rPr>
              <w:t>A único</w:t>
            </w:r>
          </w:p>
        </w:tc>
        <w:tc>
          <w:tcPr>
            <w:vAlign w:val="center"/>
            <w:tcW w:w="1583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60" w:after="60"/>
            </w:pPr>
            <w:r>
              <w:rPr>
                <w:b/>
              </w:rPr>
              <w:t>R ejecuta</w:t>
            </w:r>
          </w:p>
        </w:tc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60" w:after="60"/>
            </w:pPr>
            <w:r>
              <w:rPr>
                <w:b/>
              </w:rPr>
              <w:t>C consulta</w:t>
            </w:r>
          </w:p>
        </w:tc>
      </w:tr>
      <w:tr>
        <w:trPr>
          <w:cantSplit/>
        </w:trPr>
        <w:tc>
          <w:tcPr>
            <w:vAlign w:val="center"/>
            <w:tcW w:w="3539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Alcance y recursos EA</w:t>
            </w:r>
          </w:p>
        </w:tc>
        <w:tc>
          <w:tcPr>
            <w:vAlign w:val="center"/>
            <w:tcW w:w="149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STK-01</w:t>
            </w:r>
          </w:p>
        </w:tc>
        <w:tc>
          <w:tcPr>
            <w:vAlign w:val="center"/>
            <w:tcW w:w="1583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ROL-EA</w:t>
            </w:r>
          </w:p>
        </w:tc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ROL-AB;ROL-OP;STK-02;STK-04</w:t>
            </w:r>
          </w:p>
        </w:tc>
      </w:tr>
      <w:tr>
        <w:trPr>
          <w:cantSplit/>
        </w:trPr>
        <w:tc>
          <w:tcPr>
            <w:vAlign w:val="center"/>
            <w:tcW w:w="3539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Principios y excepciones de arquitectura</w:t>
            </w:r>
          </w:p>
        </w:tc>
        <w:tc>
          <w:tcPr>
            <w:vAlign w:val="center"/>
            <w:tcW w:w="149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ROL-AB</w:t>
            </w:r>
          </w:p>
        </w:tc>
        <w:tc>
          <w:tcPr>
            <w:vAlign w:val="center"/>
            <w:tcW w:w="1583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ROL-EA</w:t>
            </w:r>
          </w:p>
        </w:tc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STK-01;STK-02;STK-04</w:t>
            </w:r>
          </w:p>
        </w:tc>
      </w:tr>
      <w:tr>
        <w:trPr>
          <w:cantSplit/>
        </w:trPr>
        <w:tc>
          <w:tcPr>
            <w:vAlign w:val="center"/>
            <w:tcW w:w="3539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Vision y consistencia de requisitos</w:t>
            </w:r>
          </w:p>
        </w:tc>
        <w:tc>
          <w:tcPr>
            <w:vAlign w:val="center"/>
            <w:tcW w:w="149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ROL-AB</w:t>
            </w:r>
          </w:p>
        </w:tc>
        <w:tc>
          <w:tcPr>
            <w:vAlign w:val="center"/>
            <w:tcW w:w="1583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ROL-EA</w:t>
            </w:r>
          </w:p>
        </w:tc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ROL-OP;STK-02;STK-03;STK-06</w:t>
            </w:r>
          </w:p>
        </w:tc>
      </w:tr>
      <w:tr>
        <w:trPr>
          <w:cantSplit/>
        </w:trPr>
        <w:tc>
          <w:tcPr>
            <w:vAlign w:val="center"/>
            <w:tcW w:w="3539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Evidencia/liberación de Calidad</w:t>
            </w:r>
          </w:p>
        </w:tc>
        <w:tc>
          <w:tcPr>
            <w:vAlign w:val="center"/>
            <w:tcW w:w="149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STK-02</w:t>
            </w:r>
          </w:p>
        </w:tc>
        <w:tc>
          <w:tcPr>
            <w:vAlign w:val="center"/>
            <w:tcW w:w="1583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ROL-OP</w:t>
            </w:r>
          </w:p>
        </w:tc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STK-03;STK-06;ROL-EA</w:t>
            </w:r>
          </w:p>
        </w:tc>
      </w:tr>
      <w:tr>
        <w:trPr>
          <w:cantSplit/>
        </w:trPr>
        <w:tc>
          <w:tcPr>
            <w:vAlign w:val="center"/>
            <w:tcW w:w="3539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Condiciones de despacho y entrega</w:t>
            </w:r>
          </w:p>
        </w:tc>
        <w:tc>
          <w:tcPr>
            <w:vAlign w:val="center"/>
            <w:tcW w:w="149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STK-06</w:t>
            </w:r>
          </w:p>
        </w:tc>
        <w:tc>
          <w:tcPr>
            <w:vAlign w:val="center"/>
            <w:tcW w:w="1583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ROL-OP</w:t>
            </w:r>
          </w:p>
        </w:tc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STK-02;STK-03</w:t>
            </w:r>
          </w:p>
        </w:tc>
      </w:tr>
      <w:tr>
        <w:trPr>
          <w:cantSplit/>
        </w:trPr>
        <w:tc>
          <w:tcPr>
            <w:vAlign w:val="center"/>
            <w:tcW w:w="3539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Statement y autorización del trabajo posterior</w:t>
            </w:r>
          </w:p>
        </w:tc>
        <w:tc>
          <w:tcPr>
            <w:vAlign w:val="center"/>
            <w:tcW w:w="149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STK-01</w:t>
            </w:r>
          </w:p>
        </w:tc>
        <w:tc>
          <w:tcPr>
            <w:vAlign w:val="center"/>
            <w:tcW w:w="1583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ROL-EA</w:t>
            </w:r>
          </w:p>
        </w:tc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ROL-AB;STK-04</w:t>
            </w:r>
          </w:p>
        </w:tc>
      </w:tr>
      <w:tr>
        <w:trPr>
          <w:cantSplit/>
        </w:trPr>
        <w:tc>
          <w:tcPr>
            <w:vAlign w:val="center"/>
            <w:tcW w:w="3539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Custodia y versiones del paquete</w:t>
            </w:r>
          </w:p>
        </w:tc>
        <w:tc>
          <w:tcPr>
            <w:vAlign w:val="center"/>
            <w:tcW w:w="149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ROL-EA</w:t>
            </w:r>
          </w:p>
        </w:tc>
        <w:tc>
          <w:tcPr>
            <w:vAlign w:val="center"/>
            <w:tcW w:w="1583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ROL-CUST</w:t>
            </w:r>
          </w:p>
        </w:tc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ROL-MC;ROL-AB</w:t>
            </w:r>
          </w:p>
        </w:tc>
      </w:tr>
      <w:tr>
        <w:trPr>
          <w:cantSplit/>
        </w:trPr>
        <w:tc>
          <w:tcPr>
            <w:vAlign w:val="center"/>
            <w:tcW w:w="3539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Evaluación de datos aplicaciones tecnología</w:t>
            </w:r>
          </w:p>
        </w:tc>
        <w:tc>
          <w:tcPr>
            <w:vAlign w:val="center"/>
            <w:tcW w:w="149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STK-04</w:t>
            </w:r>
          </w:p>
        </w:tc>
        <w:tc>
          <w:tcPr>
            <w:vAlign w:val="center"/>
            <w:tcW w:w="1583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ROL-EA</w:t>
            </w:r>
          </w:p>
        </w:tc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ROL-OP;STK-02;STK-03</w:t>
            </w:r>
          </w:p>
        </w:tc>
      </w:tr>
      <w:tr>
        <w:trPr>
          <w:cantSplit/>
        </w:trPr>
        <w:tc>
          <w:tcPr>
            <w:vAlign w:val="center"/>
            <w:tcW w:w="3539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Control de cambios de arquitectura</w:t>
            </w:r>
          </w:p>
        </w:tc>
        <w:tc>
          <w:tcPr>
            <w:vAlign w:val="center"/>
            <w:tcW w:w="149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ROL-AB</w:t>
            </w:r>
          </w:p>
        </w:tc>
        <w:tc>
          <w:tcPr>
            <w:vAlign w:val="center"/>
            <w:tcW w:w="1583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ROL-EA</w:t>
            </w:r>
          </w:p>
        </w:tc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STK-01;ROL-CUST</w:t>
            </w:r>
          </w:p>
        </w:tc>
      </w:tr>
    </w:tbl>
    <w:p>
      <w:pPr>
        <w:keepNext w:val="0"/>
        <w:keepLines w:val="0"/>
        <w:pageBreakBefore w:val="0"/>
        <w:widowControl/>
        <w:suppressLineNumbers w:val="0"/>
      </w:pPr>
      <w:r>
        <w:rPr>
          <w:i w:val="0"/>
          <w:iCs w:val="0"/>
        </w:rPr>
        <w:t xml:space="preserve">ROL-CUST custodia; ROL-MC apoya medición. ROL-AB es revisión académica propuesta. Ninguna asignación demuestra designación empresarial.</w:t>
      </w:r>
    </w:p>
    <w:p>
      <w:pPr>
        <w:pStyle w:val="Heading2"/>
        <w:keepNext/>
        <w:keepLines w:val="0"/>
        <w:pageBreakBefore w:val="0"/>
        <w:widowControl/>
        <w:suppressLineNumbers w:val="0"/>
      </w:pPr>
      <w:r>
        <w:rPr>
          <w:i w:val="0"/>
          <w:iCs w:val="0"/>
        </w:rPr>
        <w:t xml:space="preserve">5 Restricciones recursos y soporte</w:t>
      </w:r>
    </w:p>
    <w:p>
      <w:pPr>
        <w:keepNext w:val="0"/>
        <w:keepLines w:val="0"/>
        <w:pageBreakBefore w:val="0"/>
        <w:widowControl/>
        <w:suppressLineNumbers w:val="0"/>
      </w:pPr>
      <w:r>
        <w:rPr>
          <w:i w:val="0"/>
          <w:iCs w:val="0"/>
        </w:rPr>
        <w:t xml:space="preserve">La arquitectura usa la documentación suministrada y las herramientas de edición disponibles. Procedimientos, entrevistas y acceso a planta dependen de autorización futura; no se registran como realizados.</w:t>
      </w:r>
    </w:p>
    <w:p>
      <w:pPr>
        <w:keepNext w:val="0"/>
        <w:keepLines w:val="0"/>
        <w:pageBreakBefore w:val="0"/>
        <w:widowControl/>
        <w:suppressLineNumbers w:val="0"/>
      </w:pPr>
      <w:r>
        <w:rPr>
          <w:i w:val="0"/>
          <w:iCs w:val="0"/>
        </w:rPr>
        <w:t xml:space="preserve">Plan EA propuesto: A-S1…A-S6, seis semanas relativas de Phase A. Arquitecto integra; dominio revisa en checkpoints; custodio mantiene cada cambio. Las horas efectivas y disponibilidad siguen NV-06/NV-08; no se atribuye una bolsa de 80 horas ni presupuesto empresarial.</w:t>
      </w:r>
    </w:p>
    <w:p>
      <w:pPr>
        <w:keepNext w:val="0"/>
        <w:keepLines w:val="0"/>
        <w:pageBreakBefore w:val="0"/>
        <w:widowControl/>
        <w:suppressLineNumbers w:val="0"/>
      </w:pPr>
      <w:r>
        <w:rPr>
          <w:i w:val="0"/>
          <w:iCs w:val="0"/>
        </w:rPr>
        <w:t xml:space="preserve">Revisión semanal propuesta; G-PRE-A al inicio y G-A-BCD al cierre. Si acceso o disponibilidad no bastan, se revisa scope/plazo. El piloto, sus US$265k y semanas 8/16 son una autorización y planificación separadas.</w:t>
      </w:r>
    </w:p>
    <w:p>
      <w:pPr>
        <w:pStyle w:val="Heading2"/>
        <w:keepNext/>
        <w:keepLines w:val="0"/>
        <w:pageBreakBefore w:val="0"/>
        <w:widowControl/>
        <w:suppressLineNumbers w:val="0"/>
      </w:pPr>
      <w:r>
        <w:rPr>
          <w:i w:val="0"/>
          <w:iCs w:val="0"/>
        </w:rPr>
        <w:t xml:space="preserve">6 Trazabilidad y validación</w:t>
      </w:r>
    </w:p>
    <w:p>
      <w:pPr>
        <w:keepNext w:val="0"/>
        <w:keepLines w:val="0"/>
        <w:pageBreakBefore w:val="0"/>
        <w:widowControl/>
        <w:suppressLineNumbers w:val="0"/>
      </w:pPr>
      <w:r>
        <w:rPr>
          <w:i w:val="0"/>
          <w:iCs w:val="0"/>
        </w:rPr>
        <w:t xml:space="preserve">RACI.csv y Capability_Charter.csv son registros operativos del paquete. Los criterios de preparación se evalúan en Gates_y_Aprobaciones.md. El asistente recomienda continuar conceptualmente con condiciones; decisiones del equipo y corporativas permanecen pendientes.</w:t>
      </w:r>
    </w:p>
    <w:p>
      <w:pPr>
        <w:pStyle w:val="Heading2"/>
        <w:keepNext/>
        <w:keepLines w:val="0"/>
        <w:pageBreakBefore w:val="0"/>
        <w:widowControl/>
        <w:suppressLineNumbers w:val="0"/>
      </w:pPr>
      <w:r>
        <w:rPr>
          <w:i w:val="0"/>
          <w:iCs w:val="0"/>
        </w:rPr>
        <w:t xml:space="preserve">7 Indicadores del gobierno propuestos</w:t>
      </w:r>
    </w:p>
    <w:tbl>
      <w:tblPr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CellMar>
          <w:top w:w="0" w:type="dxa"/>
          <w:left w:w="0" w:type="dxa"/>
          <w:bottom w:w="0" w:type="dxa"/>
          <w:right w:w="0" w:type="dxa"/>
        </w:tblCellMar>
        <w:tblW w:w="9314" w:type="dxa"/>
        <w:tblLayout w:type="fixed"/>
      </w:tblPr>
      <w:tblGrid>
        <w:gridCol w:w="2701"/>
        <w:gridCol w:w="6612"/>
      </w:tblGrid>
      <w:tr>
        <w:trPr>
          <w:cantSplit/>
          <w:tblHeader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60" w:after="60"/>
            </w:pPr>
            <w:r>
              <w:rPr>
                <w:b/>
              </w:rPr>
              <w:t>Control EA</w:t>
            </w:r>
          </w:p>
        </w:tc>
        <w:tc>
          <w:tcPr>
            <w:vAlign w:val="center"/>
            <w:tcW w:w="661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60" w:after="60"/>
            </w:pPr>
            <w:r>
              <w:rPr>
                <w:b/>
              </w:rPr>
              <w:t>Medida y límite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Revisión de entregables</w:t>
            </w:r>
          </w:p>
        </w:tc>
        <w:tc>
          <w:tcPr>
            <w:vAlign w:val="center"/>
            <w:tcW w:w="661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Revisados con evidencia / previstos por checkpoint; baseline real NE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Decisiones registradas</w:t>
            </w:r>
          </w:p>
        </w:tc>
        <w:tc>
          <w:tcPr>
            <w:vAlign w:val="center"/>
            <w:tcW w:w="661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DEC con owner, fuente y rationale / DEC vigentes; no implica aprobación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Recuperación</w:t>
            </w:r>
          </w:p>
        </w:tc>
        <w:tc>
          <w:tcPr>
            <w:vAlign w:val="center"/>
            <w:tcW w:w="661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Activos con ruta/versión/owner resolubles; comprobación automática documentada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Evidencia de aceptación</w:t>
            </w:r>
          </w:p>
        </w:tc>
        <w:tc>
          <w:tcPr>
            <w:vAlign w:val="center"/>
            <w:tcW w:w="661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Requisitos con protocolo y prueba futura identificados; pruebas operativas no ejecutadas</w:t>
            </w:r>
          </w:p>
        </w:tc>
      </w:tr>
    </w:tbl>
    <w:p>
      <w:pPr>
        <w:keepNext w:val="0"/>
        <w:keepLines w:val="0"/>
        <w:pageBreakBefore w:val="0"/>
        <w:widowControl/>
        <w:suppressLineNumbers w:val="0"/>
      </w:pPr>
      <w:r>
        <w:rPr>
          <w:i w:val="0"/>
          <w:iCs w:val="0"/>
        </w:rPr>
        <w:t xml:space="preserve">Referencias y estado de revisión</w:t>
      </w:r>
    </w:p>
    <w:p>
      <w:pPr>
        <w:keepNext w:val="0"/>
        <w:keepLines w:val="0"/>
        <w:pageBreakBefore w:val="0"/>
        <w:widowControl/>
        <w:suppressLineNumbers w:val="0"/>
      </w:pPr>
      <w:r>
        <w:rPr/>
        <w:t>Guía S4: 03_Architecture_Repository/05_Reference_Library/SI605_Guia_S4.md; PC1 corregida: 03_Architecture_Repository/05_Reference_Library/Antecedentes/PC1_Corregida.docx y registro 03_Architecture_Repository/05_Reference_Library/Antecedentes/Registro_Correcciones_PC1.md. Fuentes/estatus en 00_Control/Fuentes_y_Evidencias.csv. Catálogos y modelos se localizan en 00_Control/Inventario_artefactos.csv. Phase B se incorpora como borrador condicionado en 05_Phase_B; no se ejecutaron pruebas operativas; revisión/aceptación del equipo pendientes. Paginación DOCX pendiente de inspección visual por bloqueo del render.</w:t>
      </w:r>
    </w:p>
    <w:sectPr>
      <w:pgSz w:w="11906" w:h="16838"/>
      <w:pgMar w:top="1224" w:right="1296" w:bottom="1224" w:left="1296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44DC8B"/>
    <w:multiLevelType w:val="singleLevel"/>
    <w:tmpl w:val="CF44DC8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1">
    <w:nsid w:val="31F7ED96"/>
    <w:multiLevelType w:val="singleLevel"/>
    <w:tmpl w:val="31F7ED9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79F66292"/>
    <w:multiLevelType w:val="multilevel"/>
    <w:tmpl w:val="79F662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oNotDisplayPageBoundaries w:val="1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14216D"/>
    <w:rsid w:val="17B65676"/>
    <w:rsid w:val="6B142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="Times New Roman" w:hAnsi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49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2026-10-09T18:14:00Z</dcterms:created>
  <dc:creator>quint</dc:creator>
  <cp:lastModifiedBy>quint</cp:lastModifiedBy>
  <dcterms:modified xsi:type="dcterms:W3CDTF">2026-10-09T19:05:42Z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2058-12.1.0.28485</vt:lpwstr>
  </property>
  <property fmtid="{D5CDD505-2E9C-101B-9397-08002B2CF9AE}" pid="3" name="ICV">
    <vt:lpwstr>301DB5CCB42E4A39B32F2B588D2630CA_11</vt:lpwstr>
  </property>
  <property fmtid="{D5CDD505-2E9C-101B-9397-08002B2CF9AE}" pid="4" name="KSOTemplateDocerSaveRecord">
    <vt:lpwstr>eyJoZGlkIjoiNTQxZDc3Y2ExYWQyOTUwOGZhYzM4MTU1Nzk0YWZkMDAiLCJ1c2VySWQiOiIyNDkxNjI5MzMyNzEyIn0=</vt:lpwstr>
  </property>
</Properties>
</file>