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Title"/>
        <w:keepNext/>
        <w:keepLines w:val="0"/>
        <w:pageBreakBefore w:val="0"/>
        <w:widowControl/>
        <w:suppressLineNumbers w:val="0"/>
        <w:shd w:val="clear"/>
        <w:spacing w:beforeAutospacing="0" w:afterAutospacing="0"/>
        <w:ind/>
      </w:pPr>
      <w:r>
        <w:rPr>
          <w:b/>
          <w:bCs/>
          <w:i w:val="0"/>
          <w:iCs w:val="0"/>
          <w:caps w:val="0"/>
          <w:shd w:val="clear"/>
        </w:rPr>
        <w:t xml:space="preserve">Principios de arquitectura</w:t>
      </w:r>
    </w:p>
    <w:p>
      <w:pPr>
        <w:keepNext w:val="0"/>
        <w:keepLines w:val="0"/>
        <w:pageBreakBefore w:val="0"/>
        <w:widowControl/>
        <w:suppressLineNumbers w:val="0"/>
        <w:shd w:val="clear"/>
        <w:spacing w:beforeAutospacing="0" w:afterAutospacing="0"/>
        <w:ind/>
      </w:pPr>
      <w:r>
        <w:rPr>
          <w:b/>
          <w:bCs/>
          <w:i w:val="0"/>
          <w:iCs w:val="0"/>
          <w:caps w:val="0"/>
          <w:shd w:val="clear"/>
        </w:rPr>
        <w:t xml:space="preserve">Camposol S.A. · Planta Packing Chao · Grupo 04 · SI605</w:t>
      </w:r>
    </w:p>
    <w:p>
      <w:pPr>
        <w:keepNext w:val="0"/>
        <w:keepLines w:val="0"/>
        <w:pageBreakBefore w:val="0"/>
        <w:widowControl/>
        <w:suppressLineNumbers w:val="0"/>
        <w:shd w:val="clear"/>
        <w:spacing w:beforeAutospacing="0" w:afterAutospacing="0"/>
        <w:ind/>
      </w:pPr>
      <w:r>
        <w:rPr>
          <w:b/>
          <w:bCs/>
          <w:i w:val="0"/>
          <w:iCs w:val="0"/>
          <w:caps w:val="0"/>
          <w:shd w:val="clear"/>
        </w:rPr>
        <w:t xml:space="preserve">Lectura de códigos: PRE es Preliminary y A Phase A; D/DRV driver; OBJ objetivo; OUT resultado; KPI indicador; MED medida candidata; VS value stream; C4/H1/C3 y CAP-A capacidades; C01…06 concerns; STK stakeholder; ROL función; PR principio; REQ requisito; VP viewpoint; VIEW vista; MODEL/M modelo; DEC decisión; CP correspondencia; F fuente. HP: hecho público con fuente y alcance; IA: escenario asistido por IA; SV: supuesto por validar; DE: propuesta/decisión académica; NV: información faltante. NE significa no evaluado, nunca cero. Las propuestas nuevas de este paquete son DE asistidas por IA-07; no se declara acuerdo del equipo.</w:t>
      </w:r>
    </w:p>
    <w:tbl>
      <w:tblPr>
        <w:tblInd w:w="52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CellMar>
          <w:top w:w="15" w:type="dxa"/>
          <w:left w:w="15" w:type="dxa"/>
          <w:bottom w:w="15" w:type="dxa"/>
          <w:right w:w="15" w:type="dxa"/>
        </w:tblCellMar>
        <w:tblW w:w="9314" w:type="dxa"/>
        <w:tblLayout w:type="fixed"/>
      </w:tblPr>
      <w:tblGrid>
        <w:gridCol w:w="2701"/>
        <w:gridCol w:w="6612"/>
      </w:tblGrid>
      <w:tr>
        <w:trPr>
          <w:cantSplit/>
          <w:tblHeader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60" w:after="60"/>
            </w:pPr>
            <w:r>
              <w:rPr>
                <w:b/>
              </w:rPr>
              <w:t>Control</w:t>
            </w:r>
          </w:p>
        </w:tc>
        <w:tc>
          <w:tcPr>
            <w:vAlign w:val="center"/>
            <w:tcW w:w="661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60" w:after="60"/>
            </w:pPr>
            <w:r>
              <w:rPr>
                <w:b/>
              </w:rPr>
              <w:t>Valor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ID / fase</w:t>
            </w:r>
          </w:p>
        </w:tc>
        <w:tc>
          <w:tcPr>
            <w:vAlign w:val="center"/>
            <w:tcW w:w="661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PRE-04 · Preliminary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Versión / estado</w:t>
            </w:r>
          </w:p>
        </w:tc>
        <w:tc>
          <w:tcPr>
            <w:vAlign w:val="center"/>
            <w:tcW w:w="661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v0.2 · Draft académico; propuesta del asistente DE; sin aprobación del equipo ni corporativa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Owner / fecha</w:t>
            </w:r>
          </w:p>
        </w:tc>
        <w:tc>
          <w:tcPr>
            <w:vAlign w:val="center"/>
            <w:tcW w:w="661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ROL-EA Arquitecto líder propuesto · elaboración 2026-10-15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Propósito</w:t>
            </w:r>
          </w:p>
        </w:tc>
        <w:tc>
          <w:tcPr>
            <w:vAlign w:val="center"/>
            <w:tcW w:w="661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Ver sección 1; Principios de arquitectura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Inputs</w:t>
            </w:r>
          </w:p>
        </w:tc>
        <w:tc>
          <w:tcPr>
            <w:vAlign w:val="center"/>
            <w:tcW w:w="661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PRE-01…03, concerns y requisitos PC1; Template 4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Outputs</w:t>
            </w:r>
          </w:p>
        </w:tc>
        <w:tc>
          <w:tcPr>
            <w:vAlign w:val="center"/>
            <w:tcW w:w="661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Seis principios completos, enlaces a REQ y mecanismo de excepción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Base de edición</w:t>
            </w:r>
          </w:p>
        </w:tc>
        <w:tc>
          <w:tcPr>
            <w:vAlign w:val="center"/>
            <w:tcW w:w="661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Template 4.docx; copia del original homónimo, contenido conservado; formato normalizado al patrón de A-02 en v0.2; conciliaciones EQ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Antecedente vigente</w:t>
            </w:r>
          </w:p>
        </w:tc>
        <w:tc>
          <w:tcPr>
            <w:vAlign w:val="center"/>
            <w:tcW w:w="661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03_Architecture_Repository/05_Reference_Library/Antecedentes/PC1_Corregida.docx; 03_Architecture_Repository/05_Reference_Library/Antecedentes/Registro_Correcciones_PC1.md</w:t>
            </w:r>
          </w:p>
        </w:tc>
      </w:tr>
    </w:tbl>
    <w:p>
      <w:pPr>
        <w:pStyle w:val="Heading2"/>
        <w:keepNext/>
        <w:keepLines w:val="0"/>
        <w:pageBreakBefore w:val="0"/>
        <w:widowControl/>
        <w:suppressLineNumbers w:val="0"/>
        <w:shd w:val="clear"/>
        <w:spacing w:beforeAutospacing="0" w:afterAutospacing="0"/>
        <w:ind/>
      </w:pPr>
      <w:r>
        <w:rPr>
          <w:b/>
          <w:bCs/>
          <w:i w:val="0"/>
          <w:iCs w:val="0"/>
          <w:caps w:val="0"/>
          <w:shd w:val="clear"/>
        </w:rPr>
        <w:t xml:space="preserve">1 Propósito y alcance</w:t>
      </w:r>
    </w:p>
    <w:p>
      <w:pPr>
        <w:keepNext w:val="0"/>
        <w:keepLines w:val="0"/>
        <w:pageBreakBefore w:val="0"/>
        <w:widowControl/>
        <w:suppressLineNumbers w:val="0"/>
        <w:shd w:val="clear"/>
        <w:spacing w:beforeAutospacing="0" w:afterAutospacing="0"/>
        <w:ind/>
      </w:pPr>
      <w:r>
        <w:rPr>
          <w:b/>
          <w:bCs/>
          <w:i w:val="0"/>
          <w:iCs w:val="0"/>
          <w:caps w:val="0"/>
          <w:shd w:val="clear"/>
        </w:rPr>
        <w:t xml:space="preserve">Los principios guían el análisis, diseño y evaluación del value stream de Chao. Se conservan los cinco temas del Template 4 y se añade continuidad segura para cubrir los requisitos vigentes. Son propuestas DE asistidas por IA-07, sujetas a revisión; no políticas adoptadas por Camposol.</w:t>
      </w:r>
    </w:p>
    <w:p>
      <w:pPr>
        <w:pStyle w:val="Heading2"/>
        <w:keepNext/>
        <w:keepLines w:val="0"/>
        <w:pageBreakBefore w:val="0"/>
        <w:widowControl/>
        <w:suppressLineNumbers w:val="0"/>
        <w:shd w:val="clear"/>
        <w:spacing w:beforeAutospacing="0" w:afterAutospacing="0"/>
        <w:ind/>
      </w:pPr>
      <w:r>
        <w:rPr>
          <w:b/>
          <w:bCs/>
          <w:i w:val="0"/>
          <w:iCs w:val="0"/>
          <w:caps w:val="0"/>
          <w:shd w:val="clear"/>
        </w:rPr>
        <w:t xml:space="preserve">2 Principios completos</w:t>
      </w:r>
    </w:p>
    <w:tbl>
      <w:tblPr>
        <w:tblInd w:w="52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CellMar>
          <w:top w:w="15" w:type="dxa"/>
          <w:left w:w="15" w:type="dxa"/>
          <w:bottom w:w="15" w:type="dxa"/>
          <w:right w:w="15" w:type="dxa"/>
        </w:tblCellMar>
        <w:tblW w:w="9314" w:type="dxa"/>
        <w:tblLayout w:type="fixed"/>
      </w:tblPr>
      <w:tblGrid>
        <w:gridCol w:w="2142"/>
        <w:gridCol w:w="3725"/>
        <w:gridCol w:w="3447"/>
      </w:tblGrid>
      <w:tr>
        <w:trPr>
          <w:cantSplit/>
          <w:tblHeader/>
        </w:trPr>
        <w:tc>
          <w:tcPr>
            <w:vAlign w:val="center"/>
            <w:tcW w:w="214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60" w:after="60"/>
            </w:pPr>
            <w:r>
              <w:rPr>
                <w:b/>
              </w:rPr>
              <w:t>Principio</w:t>
            </w:r>
          </w:p>
        </w:tc>
        <w:tc>
          <w:tcPr>
            <w:vAlign w:val="center"/>
            <w:tcW w:w="372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60" w:after="60"/>
            </w:pPr>
            <w:r>
              <w:rPr>
                <w:b/>
              </w:rPr>
              <w:t>Name y Statement</w:t>
            </w:r>
          </w:p>
        </w:tc>
        <w:tc>
          <w:tcPr>
            <w:vAlign w:val="center"/>
            <w:tcW w:w="3447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60" w:after="60"/>
            </w:pPr>
            <w:r>
              <w:rPr>
                <w:b/>
              </w:rPr>
              <w:t>Rationale e Implications</w:t>
            </w:r>
          </w:p>
        </w:tc>
      </w:tr>
      <w:tr>
        <w:trPr>
          <w:cantSplit/>
        </w:trPr>
        <w:tc>
          <w:tcPr>
            <w:vAlign w:val="center"/>
            <w:tcW w:w="214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PR-01</w:t>
            </w:r>
          </w:p>
        </w:tc>
        <w:tc>
          <w:tcPr>
            <w:vAlign w:val="center"/>
            <w:tcW w:w="372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Evidencia y escenario explícitos</w:t>
              <w:br/>
              <w:t>La descripción del proceso real usa evidencia autorizada; las hipótesis, escenarios IA y propuestas DE conservan su procedencia.</w:t>
            </w:r>
          </w:p>
        </w:tc>
        <w:tc>
          <w:tcPr>
            <w:vAlign w:val="center"/>
            <w:tcW w:w="3447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Evita convertir la expansión o un valor sintético en diagnóstico local.</w:t>
              <w:br/>
              <w:t>Implicaciones verificables: Mantener fuente y estatus por afirmación; NE si falta baseline; revisar muestra y límites antes de aceptar resultados.</w:t>
              <w:br/>
              <w:t>REQ-02;REQ-07</w:t>
            </w:r>
          </w:p>
        </w:tc>
      </w:tr>
      <w:tr>
        <w:trPr>
          <w:cantSplit/>
        </w:trPr>
        <w:tc>
          <w:tcPr>
            <w:vAlign w:val="center"/>
            <w:tcW w:w="214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PR-02</w:t>
            </w:r>
          </w:p>
        </w:tc>
        <w:tc>
          <w:tcPr>
            <w:vAlign w:val="center"/>
            <w:tcW w:w="372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Claridad de identidad y custodia</w:t>
              <w:br/>
              <w:t>Cada handoff identifica unidad/genealogía, emisor, receptor, información mínima, aceptación y excepción.</w:t>
            </w:r>
          </w:p>
        </w:tc>
        <w:tc>
          <w:tcPr>
            <w:vAlign w:val="center"/>
            <w:tcW w:w="3447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El traspaso físico y el de información deben poder relacionarse sin perder identidad.</w:t>
              <w:br/>
              <w:t>Implicaciones verificables: Probar división/agrupación, correspondencia de unidades y responsabilidades; no sustituir evidencia por una clave de datos.</w:t>
              <w:br/>
              <w:t>REQ-01;REQ-06</w:t>
            </w:r>
          </w:p>
        </w:tc>
      </w:tr>
      <w:tr>
        <w:trPr>
          <w:cantSplit/>
        </w:trPr>
        <w:tc>
          <w:tcPr>
            <w:vAlign w:val="center"/>
            <w:tcW w:w="214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PR-03</w:t>
            </w:r>
          </w:p>
        </w:tc>
        <w:tc>
          <w:tcPr>
            <w:vAlign w:val="center"/>
            <w:tcW w:w="372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Trazabilidad con responsable y evidencia</w:t>
              <w:br/>
              <w:t>Cada evento/estado tiene fuente y responsable; liberación de Calidad y condición de despacho se registran por separado con acceso gobernado.</w:t>
            </w:r>
          </w:p>
        </w:tc>
        <w:tc>
          <w:tcPr>
            <w:vAlign w:val="center"/>
            <w:tcW w:w="3447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La historia y custodia deben ser verificables y conservar autoridad funcional.</w:t>
              <w:br/>
              <w:t>Implicaciones verificables: Registrar procedencia/tiempo y correcciones; vincular series térmicas; probar permisos; discrepancias preservan originales y se escalan.</w:t>
              <w:br/>
              <w:t>REQ-01;REQ-02;REQ-04;REQ-05;REQ-06</w:t>
            </w:r>
          </w:p>
        </w:tc>
      </w:tr>
      <w:tr>
        <w:trPr>
          <w:cantSplit/>
        </w:trPr>
        <w:tc>
          <w:tcPr>
            <w:vAlign w:val="center"/>
            <w:tcW w:w="214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PR-04</w:t>
            </w:r>
          </w:p>
        </w:tc>
        <w:tc>
          <w:tcPr>
            <w:vAlign w:val="center"/>
            <w:tcW w:w="372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Medición comparable antes y después</w:t>
              <w:br/>
              <w:t>Las metas se pueden proponer en el escenario, pero el desempeño real y su mejora requieren baseline y protocolo medidos con poblaciones comparables.</w:t>
            </w:r>
          </w:p>
        </w:tc>
        <w:tc>
          <w:tcPr>
            <w:vAlign w:val="center"/>
            <w:tcW w:w="3447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Los valores IA de PC1 orientan la exploración; no acreditan resultados ni causalidad.</w:t>
              <w:br/>
              <w:t>Implicaciones verificables: Separar solicitud/lote, pallet y evento; definir muestra/ventana/owner; no convertir desconocido en cero; revisar targets con evidencia.</w:t>
              <w:br/>
              <w:t>REQ-02;REQ-04;REQ-07</w:t>
            </w:r>
          </w:p>
        </w:tc>
      </w:tr>
      <w:tr>
        <w:trPr>
          <w:cantSplit/>
        </w:trPr>
        <w:tc>
          <w:tcPr>
            <w:vAlign w:val="center"/>
            <w:tcW w:w="214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PR-05</w:t>
            </w:r>
          </w:p>
        </w:tc>
        <w:tc>
          <w:tcPr>
            <w:vAlign w:val="center"/>
            <w:tcW w:w="372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Tecnología como habilitador revisable</w:t>
              <w:br/>
              <w:t>Se comparan reutilización y alternativas técnicas conforme a necesidad y evidencia; no se selecciona proveedor ni se impone nodo local.</w:t>
            </w:r>
          </w:p>
        </w:tc>
        <w:tc>
          <w:tcPr>
            <w:vAlign w:val="center"/>
            <w:tcW w:w="3447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DEC-01 explora B sin excluir A o C ni asegurar que exista brecha tecnológica.</w:t>
              <w:br/>
              <w:t>Implicaciones verificables: Reabrir DEC-01 si lo existente basta o fallan identidad, seguridad, costo/plazo o pruebas; implementación requiere autorización separada.</w:t>
              <w:br/>
              <w:t>REQ-07</w:t>
            </w:r>
          </w:p>
        </w:tc>
      </w:tr>
      <w:tr>
        <w:trPr>
          <w:cantSplit/>
        </w:trPr>
        <w:tc>
          <w:tcPr>
            <w:vAlign w:val="center"/>
            <w:tcW w:w="214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PR-06</w:t>
            </w:r>
          </w:p>
        </w:tc>
        <w:tc>
          <w:tcPr>
            <w:vAlign w:val="center"/>
            <w:tcW w:w="372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Continuidad con acceso seguro</w:t>
              <w:br/>
              <w:t>Las interfaces del alcance deben conservar evidencia, reconciliar interrupciones y aplicar acceso autorizado sin atribuir capacidades no verificadas.</w:t>
            </w:r>
          </w:p>
        </w:tc>
        <w:tc>
          <w:tcPr>
            <w:vAlign w:val="center"/>
            <w:tcW w:w="3447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Un corte externo, una falla de red local y una indisponibilidad del dispositivo son condiciones diferentes.</w:t>
              <w:br/>
              <w:t>Implicaciones verificables: Probar REQ-03/05 con control independiente; acordar RTO/RPO y tolerancias; no equiparar firewall/VLAN a cumplimiento.</w:t>
              <w:br/>
              <w:t>REQ-03;REQ-05</w:t>
            </w:r>
          </w:p>
        </w:tc>
      </w:tr>
    </w:tbl>
    <w:p>
      <w:pPr>
        <w:pStyle w:val="Heading2"/>
        <w:keepNext/>
        <w:keepLines w:val="0"/>
        <w:pageBreakBefore w:val="0"/>
        <w:widowControl/>
        <w:suppressLineNumbers w:val="0"/>
        <w:shd w:val="clear"/>
        <w:spacing w:beforeAutospacing="0" w:afterAutospacing="0"/>
        <w:ind/>
      </w:pPr>
      <w:r>
        <w:rPr>
          <w:b/>
          <w:bCs/>
          <w:i w:val="0"/>
          <w:iCs w:val="0"/>
          <w:caps w:val="0"/>
          <w:shd w:val="clear"/>
        </w:rPr>
        <w:t xml:space="preserve">3 Aplicación y excepciones</w:t>
      </w:r>
    </w:p>
    <w:p>
      <w:pPr>
        <w:keepNext w:val="0"/>
        <w:keepLines w:val="0"/>
        <w:pageBreakBefore w:val="0"/>
        <w:widowControl/>
        <w:suppressLineNumbers w:val="0"/>
        <w:shd w:val="clear"/>
        <w:spacing w:beforeAutospacing="0" w:afterAutospacing="0"/>
        <w:ind/>
      </w:pPr>
      <w:r>
        <w:rPr>
          <w:b/>
          <w:bCs/>
          <w:i w:val="0"/>
          <w:iCs w:val="0"/>
          <w:caps w:val="0"/>
          <w:shd w:val="clear"/>
        </w:rPr>
        <w:t xml:space="preserve">Cada excepción propuesta registra ID EX, principio/requisito afectado, motivo, alternativa, efecto sobre calidad/KPI, riesgo, controles compensatorios, owner, autoridad, vencimiento y evidencia. ROL-EA analiza, ROL-AB revisa arquitectura y STK-01 decide recursos cuando tenga mandato; Calidad conserva su autoridad funcional propuesta.</w:t>
      </w:r>
    </w:p>
    <w:p>
      <w:pPr>
        <w:keepNext w:val="0"/>
        <w:keepLines w:val="0"/>
        <w:pageBreakBefore w:val="0"/>
        <w:widowControl/>
        <w:suppressLineNumbers w:val="0"/>
        <w:shd w:val="clear"/>
        <w:spacing w:beforeAutospacing="0" w:afterAutospacing="0"/>
        <w:ind/>
      </w:pPr>
      <w:r>
        <w:rPr>
          <w:b/>
          <w:bCs/>
          <w:i w:val="0"/>
          <w:iCs w:val="0"/>
          <w:caps w:val="0"/>
          <w:shd w:val="clear"/>
        </w:rPr>
        <w:t xml:space="preserve">Exception_Log.csv declara que no se han recibido ni aprobado excepciones. La fila de estado del registro no es un caso ocurrido. No se inventa acta, firma o aprobación.</w:t>
      </w:r>
    </w:p>
    <w:p>
      <w:pPr>
        <w:pStyle w:val="Heading2"/>
        <w:keepNext/>
        <w:keepLines w:val="0"/>
        <w:pageBreakBefore w:val="0"/>
        <w:widowControl/>
        <w:suppressLineNumbers w:val="0"/>
        <w:shd w:val="clear"/>
        <w:spacing w:beforeAutospacing="0" w:afterAutospacing="0"/>
        <w:ind/>
      </w:pPr>
      <w:r>
        <w:rPr>
          <w:b/>
          <w:bCs/>
          <w:i w:val="0"/>
          <w:iCs w:val="0"/>
          <w:caps w:val="0"/>
          <w:shd w:val="clear"/>
        </w:rPr>
        <w:t xml:space="preserve">4 Criterios de revisión</w:t>
      </w:r>
    </w:p>
    <w:p>
      <w:pPr>
        <w:keepNext w:val="0"/>
        <w:keepLines w:val="0"/>
        <w:pageBreakBefore w:val="0"/>
        <w:widowControl/>
        <w:suppressLineNumbers w:val="0"/>
        <w:shd w:val="clear"/>
        <w:spacing w:beforeAutospacing="0" w:afterAutospacing="0"/>
        <w:ind/>
      </w:pPr>
      <w:r>
        <w:rPr>
          <w:b/>
          <w:bCs/>
          <w:i w:val="0"/>
          <w:iCs w:val="0"/>
          <w:caps w:val="0"/>
          <w:shd w:val="clear"/>
        </w:rPr>
        <w:t xml:space="preserve">Comprobar vínculos PR→REQ, casos observables y origen de afirmaciones. Conservar targets académicos como propuestas y exigir baseline/protocolo antes de medir resultados. Las pruebas operativas siguen pendientes; un incumplimiento futuro abre issue/riesgo y puede reabrir DEC-01.</w:t>
      </w:r>
    </w:p>
    <w:p>
      <w:pPr>
        <w:keepNext w:val="0"/>
        <w:keepLines w:val="0"/>
        <w:pageBreakBefore w:val="0"/>
        <w:widowControl/>
        <w:suppressLineNumbers w:val="0"/>
        <w:shd w:val="clear"/>
        <w:spacing w:beforeAutospacing="0" w:afterAutospacing="0"/>
        <w:ind/>
      </w:pPr>
      <w:r>
        <w:rPr>
          <w:b/>
          <w:bCs/>
          <w:i w:val="0"/>
          <w:iCs w:val="0"/>
          <w:caps w:val="0"/>
          <w:shd w:val="clear"/>
        </w:rPr>
        <w:t xml:space="preserve">Referencias y estado de revisión</w:t>
      </w:r>
    </w:p>
    <w:p>
      <w:pPr>
        <w:keepNext w:val="0"/>
        <w:keepLines w:val="0"/>
        <w:pageBreakBefore w:val="0"/>
        <w:widowControl/>
        <w:suppressLineNumbers w:val="0"/>
        <w:shd w:val="clear"/>
        <w:spacing w:beforeAutospacing="0" w:afterAutospacing="0"/>
        <w:ind/>
      </w:pPr>
      <w:r>
        <w:rPr/>
        <w:t>Guía S4: 03_Architecture_Repository/05_Reference_Library/SI605_Guia_S4.md; PC1 corregida: 03_Architecture_Repository/05_Reference_Library/Antecedentes/PC1_Corregida.docx y registro 03_Architecture_Repository/05_Reference_Library/Antecedentes/Registro_Correcciones_PC1.md. Fuentes/estatus en 00_Control/Fuentes_y_Evidencias.csv. Catálogos y modelos se localizan en 00_Control/Inventario_artefactos.csv. Phase B se incorpora como borrador condicionado en 05_Phase_B; no se ejecutaron pruebas operativas; revisión/aceptación del equipo pendientes. Paginación DOCX pendiente de inspección visual por bloqueo del render.</w:t>
      </w:r>
    </w:p>
    <w:sectPr>
      <w:pgSz w:w="11906" w:h="16838"/>
      <w:pgMar w:top="1224" w:right="1296" w:bottom="1224" w:left="1296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NotDisplayPageBoundaries w:val="1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A412AF"/>
    <w:rsid w:val="35A41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styleId="5">
    <w:name w:val="Normal (Web)"/>
    <w:basedOn w:val="Normal"/>
    <w:uiPriority w:val="0"/>
    <w:rPr>
      <w:sz w:val="24"/>
      <w:szCs w:val="24"/>
    </w:rPr>
  </w:style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="Times New Roman" w:hAnsi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2026-10-09T19:36:00Z</dcterms:created>
  <dc:creator>quint</dc:creator>
  <cp:lastModifiedBy>quint</cp:lastModifiedBy>
  <dcterms:modified xsi:type="dcterms:W3CDTF">2026-10-09T19:40:51Z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2058-12.1.0.28485</vt:lpwstr>
  </property>
  <property fmtid="{D5CDD505-2E9C-101B-9397-08002B2CF9AE}" pid="3" name="ICV">
    <vt:lpwstr>B790D1335AFB4B8DB5343E1A43E3F11E_11</vt:lpwstr>
  </property>
  <property fmtid="{D5CDD505-2E9C-101B-9397-08002B2CF9AE}" pid="4" name="KSOTemplateDocerSaveRecord">
    <vt:lpwstr>eyJoZGlkIjoiNTQxZDc3Y2ExYWQyOTUwOGZhYzM4MTU1Nzk0YWZkMDAiLCJ1c2VySWQiOiIyNDkxNjI5MzMyNzEyIn0=</vt:lpwstr>
  </property>
</Properties>
</file>