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color w:val="000000"/>
        </w:rPr>
        <w:t xml:space="preserve">Definición inicial de arquitectura</w:t>
      </w:r>
    </w:p>
    <w:p>
      <w:pPr>
        <w:pStyle w:val="Normal"/>
      </w:pPr>
      <w:r>
        <w:rPr/>
        <w:t xml:space="preserve">Camposol S.A. · Planta Packing Chao · Grupo 04 · SI605</w:t>
      </w:r>
    </w:p>
    <w:p>
      <w:pPr>
        <w:pStyle w:val="Normal"/>
      </w:pPr>
      <w:r>
        <w:rPr/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Control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Valor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ID / fase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A-05 · Phase 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Versión / estado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r>
              <w:t>v0.2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Owner / fecha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Propósito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Ver sección 1; Definición inicial de arquitectura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Inputs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PC1 modelo conceptual, A-01/02, principios/requisitos; borrador A-05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Outputs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Baseline disponible, Target en cuatro dominios, ABB y checks de coherencia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Base de edición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A-05_Camposol_Draft_Architecture_Definition.docx; copia del original homónimo, diseño conservado; conciliaciones EQ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Antecedente vigente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1 Propósito y nivel de detalle</w:t>
      </w:r>
    </w:p>
    <w:p>
      <w:pPr>
        <w:pStyle w:val="Normal"/>
      </w:pPr>
      <w:r>
        <w:rPr/>
        <w:t xml:space="preserve">Consolidar una definición inicial de negocio, datos, aplicaciones y tecnología. Se conservan del borrador Baseline/Target separados, bloques lógicos y checks; se incorporan PC1, KPIs vigentes, fuentes y modelos. No reemplaza la definición detallada B/C/D.</w:t>
      </w:r>
    </w:p>
    <w:p>
      <w:pPr>
        <w:pStyle w:val="Heading2"/>
        <w:keepNext/>
      </w:pPr>
      <w:r>
        <w:rPr>
          <w:color w:val="000000"/>
        </w:rPr>
        <w:t xml:space="preserve">2 Scope objetivos y restricciones</w:t>
      </w:r>
    </w:p>
    <w:p>
      <w:pPr>
        <w:pStyle w:val="Normal"/>
      </w:pPr>
      <w:r>
        <w:rPr/>
        <w:t xml:space="preserve">VS01 — Aseguramiento de fruta exportable: recepción de bins → selección/calibrado → empaque → pre-frío según ruta → cámara → carga, precintado y entrega del FCL refrigerado al transportista en rampa.</w:t>
      </w:r>
    </w:p>
    <w:p>
      <w:pPr>
        <w:pStyle w:val="Normal"/>
      </w:pPr>
      <w:r>
        <w:rPr/>
        <w:t xml:space="preserve">Una planta y un value stream. Se conservan variantes de recepción de fruta refrigerada y pre-frío según ruta (NV-08). Campo, transporte marítimo, puertos, distribución internacional y rediseño del ERP corporativo quedan fuera. El cliente internacional es beneficiario final; el transportista es receptor inmediato.</w:t>
      </w:r>
    </w:p>
    <w:p>
      <w:pPr>
        <w:pStyle w:val="Normal"/>
      </w:pPr>
      <w:r>
        <w:rPr/>
        <w:t xml:space="preserve">OBJ01/OUT01: integridad y oportunidad de evidencia. OBJ-A01/OUT-A01 y OBJ-A02/OUT-A02 complementan handoffs/coordinación. Los seis principios orientan el Target; no existe aprobación de inversión ni inventario local completo.</w:t>
      </w:r>
    </w:p>
    <w:p>
      <w:pPr>
        <w:pStyle w:val="Heading2"/>
        <w:keepNext/>
      </w:pPr>
      <w:r>
        <w:rPr>
          <w:color w:val="000000"/>
        </w:rPr>
        <w:t xml:space="preserve">3 Baseline disponible y vacíos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Dominio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Conocimiento disponible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Vacíos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Negocio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Seis etapas y fronteras DE de PC1; contexto público de packing F03/F04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Procedimientos, reglas, rutas y autoridad NV-08; desempeño NV-03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Datos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Modelo ER y genealogía propuestos en PC1, reglas temporales DE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Datos/series reales, tiempos/fuentes y custodia NV-03/05/08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Aplicaciones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SAP corporativo HP F01/F02 histórico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Versión/despliegue/interfaces locales y soporte actual NV-01/04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Tecnología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Equipos y capacidad publicados F04 como contexto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Red por tramo, contingencia, controles y disponibilidad NV-02/07</w:t>
            </w:r>
          </w:p>
        </w:tc>
      </w:tr>
    </w:tbl>
    <w:p>
      <w:pPr>
        <w:pStyle w:val="Normal"/>
      </w:pPr>
      <w:r>
        <w:rPr/>
        <w:t xml:space="preserve">El borrador anterior no atribuía plataforma alguna: se conserva su cautela local y se reconoce el contexto corporativo ya acreditado. Ningún esquema interno o fallo se infiere de una referencia pública.</w:t>
      </w:r>
    </w:p>
    <w:p>
      <w:pPr>
        <w:pStyle w:val="Heading2"/>
        <w:keepNext/>
      </w:pPr>
      <w:r>
        <w:rPr>
          <w:color w:val="000000"/>
        </w:rPr>
        <w:t xml:space="preserve">4 Target conceptual en cuatro dominios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Dominio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Dirección y requisitos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Negocio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Handoffs claros, liberación y despacho separados, excepciones y evidencia; REQ-06/07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Datos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Genealogía/procedencia/historia y series térmicas por ruta; REQ-01/02/04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Aplicaciones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Servicios lógicos de captura/consulta/reconciliación y acceso, priorizando reutilización; REQ-02/03/05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Tecnología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Soporte seguro y continuidad proporcional a evidencia; no API, producto o topología elegidos; REQ-03/05</w:t>
            </w:r>
          </w:p>
        </w:tc>
      </w:tr>
    </w:tbl>
    <w:p>
      <w:pPr>
        <w:pStyle w:val="Heading2"/>
        <w:keepNext/>
      </w:pPr>
      <w:r>
        <w:rPr>
          <w:color w:val="000000"/>
        </w:rPr>
        <w:t xml:space="preserve">5 Bloques lógicos y alternativas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ABB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Función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ABB-01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Acuerdo de transferencia: unidad, emisor/receptor, aceptación y excepción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ABB-02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Historia/estado/evidencia: identidad, procedencia, custodia y permisos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ABB-03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Medición: KPI/MED, fuente, población, protocolo y revisión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ABB-04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Excepción: registro, autoridad, reconciliación y cierre</w:t>
            </w:r>
          </w:p>
        </w:tc>
      </w:tr>
    </w:tbl>
    <w:p xmlns:a="http://schemas.openxmlformats.org/drawingml/2006/main" xmlns:pic="http://schemas.openxmlformats.org/drawingml/2006/picture">
      <w:r>
        <w:drawing>
          <wp:inline>
            <wp:extent cx="5914390" cy="4730660"/>
            <wp:docPr id="101" name="VIEW-A04" descr="Concepto de solución y alternativas"/>
            <a:graphic>
              <a:graphicData uri="http://schemas.openxmlformats.org/drawingml/2006/picture">
                <pic:pic>
                  <pic:nvPicPr>
                    <pic:cNvPr id="0" name="VIEW-A04"/>
                    <pic:cNvPicPr/>
                  </pic:nvPicPr>
                  <pic:blipFill>
                    <a:blip r:embed="rIdCamposol1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473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t xml:space="preserve">VIEW-A04 Concepto de solución y alternativas · VP-A04 · M-A04 · v0.1 · owner STK-04 · concerns C03;C04;C06;C02 · Bloques lógicos y alternativas; no despliegue UML formal.</w:t>
      </w:r>
    </w:p>
    <w:p>
      <w:pPr>
        <w:pStyle w:val="Normal"/>
      </w:pPr>
      <w:r>
        <w:rPr/>
        <w:t xml:space="preserve">Elementos/relaciones: ABB de handoff, evidencia, medición y excepción; A/B/C comparables; serie térmica existente condicional NV-05. Fuente: IA-07; PC1 DEC-01; borrador A-05 §5. Editable: 03_Architecture_Repository/08_Solutions_Landscape/M-A04_Concepto.svg</w:t>
      </w:r>
    </w:p>
    <w:p>
      <w:pPr>
        <w:pStyle w:val="Normal"/>
      </w:pPr>
      <w:r>
        <w:rPr/>
        <w:t xml:space="preserve">Un servicio lógico es comportamiento requerido, no una aplicación instalada. A/B/C de DEC-01 son realizaciones candidatas a comparar; B conserva su condición exploratoria. No hay SBB seleccionado, transición diseñada ni nueva telemetría incorporada.</w:t>
      </w:r>
    </w:p>
    <w:p>
      <w:pPr>
        <w:pStyle w:val="Heading2"/>
        <w:keepNext/>
      </w:pPr>
      <w:r>
        <w:rPr>
          <w:color w:val="000000"/>
        </w:rPr>
        <w:t xml:space="preserve">6 Requirements y correspondences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Requisito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Comprobación posterior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Owner y dependencias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REQ-01 Identidad y genealogía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Cada caso acordado conserva bin–batch–pallet–FCL y división/agrupación sin identidad huérfana; contrastar matriz de vínculos y originales.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STK-02; NV-03;NV-07;NV-08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REQ-02 Historia recuperable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Cada solicitud completa acordada entrega historia revisada en ≤30 min con tiempos, procedencia y faltantes visibles; cronometrar contra control independiente.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STK-02; NV-03;NV-07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REQ-03 Continuidad y reconciliación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Durante corte externo controlado comparar eventos previstos, persistidos y reconciliados: sin pérdida, duplicación efectiva ni huérfanos; recuperación medida con protocolo/RTO/RPO NV-07.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STK-04; NV-01;NV-02;NV-04;NV-07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REQ-04 Evidencia térmica y custodia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Calcular KPI-02 por pallet y verificar series/transferencias contra fuente independiente; ≥95 % solo con fuente y protocolo aceptados. Sin NV-05 resuelto no declarar éxito.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STK-03; NV-05;NV-07;NV-08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REQ-05 Acceso autorizado y auditoría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Ejecutar casos permitidos y no permitidos, verificar rechazo y trazas de actor/tiempo/acción; roles, alcance y conservación por acordar.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STK-04; NV-01;NV-07;NV-08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REQ-06 Handoff y estados diferenciados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En BS-01 cada transferencia tiene emisor, receptor, unidad, información, aceptación y excepción; calidad/liberación y condición de despacho son estados distintos; no autorizar salida por equivalencia asumida.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STK-06; NV-08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REQ-07 Evidencia y evaluación de alternativas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Cada KPI/modelo/alternativa conserva fuente, población, unidad, owner y estatus; baseline real NE si falta evidencia; contrastar A/B/C y costos antes de recomendar implementación.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ROL-EA; NV-03;NV-06;NV-07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142"/>
        <w:gridCol w:w="3726"/>
        <w:gridCol w:w="3446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142" w:type="dxa"/>
          </w:tcPr>
          <w:p>
            <w:pPr>
              <w:pStyle w:val="Normal"/>
            </w:pPr>
            <w:r>
              <w:rPr>
                <w:b/>
              </w:rPr>
              <w:t xml:space="preserve">Check y extremos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726" w:type="dxa"/>
          </w:tcPr>
          <w:p>
            <w:pPr>
              <w:pStyle w:val="Normal"/>
            </w:pPr>
            <w:r>
              <w:rPr>
                <w:b/>
              </w:rPr>
              <w:t xml:space="preserve">Regla y evidencia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3446" w:type="dxa"/>
          </w:tcPr>
          <w:p>
            <w:pPr>
              <w:pStyle w:val="Normal"/>
            </w:pPr>
            <w:r>
              <w:rPr>
                <w:b/>
              </w:rPr>
              <w:t xml:space="preserve">Estado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CP-01 MODEL-03;VIEW-03 ↔ MODEL-02;VIEW-02;REQ-03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Continuidad de captura entre soporte y proceso</w:t>
            </w:r>
            <w:r>
              <w:rPr/>
              <w:br/>
              <w:t xml:space="preserve">Ensayo futuro de corte/recuperación con eventos previstos/persistidos/reconciliados; sin pérdida/duplicación efectiva/huérfanos; RTO/RPO NV-07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Planificado; no ejecutado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CP-02 MODEL-02;VIEW-02 ↔ MODEL-01;VIEW-01;REQ-01;REQ-02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Proceso conserva genealogía/procedencia del modelo de identidad</w:t>
            </w:r>
            <w:r>
              <w:rPr/>
              <w:br/>
              <w:t xml:space="preserve">Recorrer normal/split-merge/excepción y matriz caso→registro→origen; comparar con control independiente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Planificado; no ejecutado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CP-03 MODEL-04;VIEW-04 ↔ MODEL-03;VIEW-03;DEC-01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Alternativa y paquete coinciden con partidas, restricciones y alcance</w:t>
            </w:r>
            <w:r>
              <w:rPr/>
              <w:br/>
              <w:t xml:space="preserve">185k+55k+25k=265k; diferencia15k/techo250k. Cotizar y conciliar secuencia sin solapes inventados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Aritmética verificada; viabilidad pendiente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CP-04 MODEL-01;VIEW-01 ↔ REQ-02;REQ-04;KPI-01;KPI-02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Identidad permite contrastar historia con series y custodia; no garantiza rendimiento</w:t>
            </w:r>
            <w:r>
              <w:rPr/>
              <w:br/>
              <w:t xml:space="preserve">Cronometrar cada historia y contrastar series por pallet contra fuente independiente; no usar FK/promedio como prueba de continuidad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Planificado; no ejecutado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CP-A01 VIEW-A01;VIEW-A02;VIEW-A03;VIEW-A04 ↔ REQ-01;REQ-02;REQ-03;REQ-04;REQ-05;REQ-06;REQ-07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IDs, fronteras y semántica concuerdan entre vistas y catálogos</w:t>
            </w:r>
            <w:r>
              <w:rPr/>
              <w:br/>
              <w:t xml:space="preserve">Comparación automática de IDs/rutas y revisión de leyendas; los modelos A son conceptuales, no modelos B/C/D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Verificado documentalmente por asistente; sin revisión del equipo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142" w:type="dxa"/>
          </w:tcPr>
          <w:p>
            <w:pPr>
              <w:pStyle w:val="Normal"/>
            </w:pPr>
            <w:r>
              <w:rPr/>
              <w:t xml:space="preserve">CP-A02 VIEW-A04;M-A04 ↔ REQ-03;REQ-05;DEC-01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726" w:type="dxa"/>
          </w:tcPr>
          <w:p>
            <w:pPr>
              <w:pStyle w:val="Normal"/>
            </w:pPr>
            <w:r>
              <w:rPr/>
              <w:t xml:space="preserve">Concepto distingue persistencia/reconciliación de autorización y auditoría</w:t>
            </w:r>
            <w:r>
              <w:rPr/>
              <w:br/>
              <w:t xml:space="preserve">Revisar que alternativas/ABB indiquen ambos requisitos; pruebas de comportamiento pendientes, no inferirlas del diagrama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3446" w:type="dxa"/>
          </w:tcPr>
          <w:p>
            <w:pPr>
              <w:pStyle w:val="Normal"/>
            </w:pPr>
            <w:r>
              <w:rPr/>
              <w:t xml:space="preserve">Verificado en alcance conceptual; pruebas pendientes</w:t>
            </w:r>
          </w:p>
        </w:tc>
      </w:tr>
    </w:tbl>
    <w:p>
      <w:pPr>
        <w:pStyle w:val="Normal"/>
      </w:pPr>
      <w:r>
        <w:rPr/>
        <w:t xml:space="preserve">CP-01…04 se conservan de PC1; CP-A01/02 añaden coherencia documental/conceptual del paquete. Las pruebas de desconexión, rendimiento, acceso y térmica no fueron ejecutadas. MODEL-02/03/04 tienen un plan recuperable, no un modelo detallado falsamente declarado.</w:t>
      </w:r>
    </w:p>
    <w:p>
      <w:pPr>
        <w:pStyle w:val="Heading2"/>
        <w:keepNext/>
      </w:pPr>
      <w:r>
        <w:rPr>
          <w:color w:val="000000"/>
        </w:rPr>
        <w:t xml:space="preserve">7 Brechas y profundización</w:t>
      </w:r>
    </w:p>
    <w:p>
      <w:pPr>
        <w:pStyle w:val="Normal"/>
      </w:pPr>
      <w:r>
        <w:rPr/>
        <w:t xml:space="preserve">Gap1 C4/H1 y Gap2 C3 continúan como escenario IA. Coordinación, medición y excepciones son capacidades candidatas NE de los borradores; no se crean cuatro fallas nuevas ni se restan escalas.</w:t>
      </w:r>
    </w:p>
    <w:tbl>
      <w:tblPr>
        <w:jc w:val="center"/>
        <w:tblLook w:firstColumn="1" w:firstRow="1" w:lastColumn="0" w:lastRow="0" w:noHBand="0" w:noVBand="1" w:val="04A0"/>
        <w:tblW w:w="9314" w:type="dxa"/>
        <w:tblLayout w:type="fixed"/>
      </w:tblPr>
      <w:tblGrid>
        <w:gridCol w:w="2701"/>
        <w:gridCol w:w="6613"/>
      </w:tblGrid>
      <w:tr>
        <w:trPr>
          <w:cantSplit/>
          <w:tblHeader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2701" w:type="dxa"/>
          </w:tcPr>
          <w:p>
            <w:pPr>
              <w:pStyle w:val="Normal"/>
            </w:pPr>
            <w:r>
              <w:rPr>
                <w:b/>
              </w:rPr>
              <w:t xml:space="preserve">Fase posterior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  <w:tcW w:w="6613" w:type="dxa"/>
          </w:tcPr>
          <w:p>
            <w:pPr>
              <w:pStyle w:val="Normal"/>
            </w:pPr>
            <w:r>
              <w:rPr>
                <w:b/>
              </w:rPr>
              <w:t xml:space="preserve">Pregunta y producto previsto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B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¿Cómo ocurren handoffs/servicios/controles y qué gaps existen? Estados comparables con fuentes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C datos/aplicaciones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¿Qué identificadores/fuentes/soportes existen y qué contratos hacen falta? Linaje y alternativas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¿Qué red, interfaces, permisos y continuidad exigen las capacidades? Arquitectura proporcional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2701" w:type="dxa"/>
          </w:tcPr>
          <w:p>
            <w:pPr>
              <w:pStyle w:val="Normal"/>
            </w:pPr>
            <w:r>
              <w:rPr/>
              <w:t xml:space="preserve">E/F posteriores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tcW w:w="6613" w:type="dxa"/>
          </w:tcPr>
          <w:p>
            <w:pPr>
              <w:pStyle w:val="Normal"/>
            </w:pPr>
            <w:r>
              <w:rPr/>
              <w:t xml:space="preserve">Priorizar paquetes y migración después de evidencia/viabilidad; no desarrollado en A</w:t>
            </w:r>
          </w:p>
        </w:tc>
      </w:tr>
    </w:tbl>
    <w:p>
      <w:pPr>
        <w:pStyle w:val="Normal"/>
      </w:pPr>
      <w:r>
        <w:rPr/>
        <w:t xml:space="preserve">El calendario posterior se propone en A-04; su aceptación y recursos siguen pendientes.</w:t>
      </w:r>
    </w:p>
    <w:p>
      <w:pPr>
        <w:pStyle w:val="Heading2"/>
        <w:keepNext/>
      </w:pPr>
      <w:r>
        <w:rPr>
          <w:color w:val="000000"/>
        </w:rPr>
        <w:t xml:space="preserve">Referencias y estado de revisión</w:t>
      </w:r>
    </w:p>
    <w:p>
      <w:pPr>
        <w:pStyle w:val="Normal"/>
      </w:pPr>
      <w:r>
        <w:rPr/>
        <w:t xml:space="preserve"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No se desarrolló Phase B ni se ejecutaron pruebas operativas; revisión/aceptación del equipo pendientes. Paginación DOCX pendiente de inspección visual por bloqueo del render.</w:t>
      </w:r>
    </w:p>
    <w:p>
      <w:pPr>
        <w:pStyle w:val="Heading2"/>
      </w:pPr>
      <w:r>
        <w:t>Ampliación controlada v0.2 · Phase B</w:t>
      </w:r>
    </w:p>
    <w:p>
      <w:r>
        <w:t>La definición inicial v0.1 anterior se conserva como historia de Phase A, incluidas sus limitaciones al momento de redacción. B-01_Business_Architecture_Definition.docx en 05_Phase_B amplía el dominio de negocio con siete unidades comparables, seis capacidades, gaps/candidatos, responsabilidades, requisitos refinados, CRC y dos vistas XML reales. Los dominios C/D no se desarrollaron. El gate G-A-BCD sigue pendiente; esta ampliación es borrador académico condicionado.</w:t>
      </w:r>
    </w:p>
    <w:p>
      <w:r>
        <w:t>Assessment actual: B-02; maestro de requisitos transversal Requirements_Catalog.csv v0.2 y exportación B-07; evidencias/gaps B-04; modelo B-06; vista/catálogo B-09. A-01/02/03/04/06 permanecen v0.1 como documentos de la fase y no se reescriben como si hubieran autorizado B. Fecha elaboración 2026-10-15; owner ROL-EA propuesto; cambio real: ampliar ADD y referenciar fuentes canónicas sin borrar historia.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mposol1" Type="http://schemas.openxmlformats.org/officeDocument/2006/relationships/image" Target="media/camposol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