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Organización y servicios de negocio</w:t>
      </w:r>
    </w:p>
    <w:p>
      <w:r>
        <w:t>Camposol S.A. · Planta Packing Chao · Grupo 04 · SI605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989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versión / estado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B-05 · v0.2 · Borrador académico condicionado; DE del asistente; revisión y pruebas pendientes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Desarrollar arquitectura de negocio comparable y trazable en VS01, como propuesta condicionada.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Roles A/PRE-01, BS-01 A-06, REQ-01…07, NV-08 y modelo B-06.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Catálogo de servicios, responsabilidades, objetos, handoffs y validaciones de autoridad.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Gate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G-A-BCD pendiente; no hay encargo corporativo, reunión, firma ni aprobación inventada.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corregida; PRE-04; A-01/02/04/05/06; guía S5 completa. A-05 conserva historia y remite a B.</w:t>
            </w:r>
          </w:p>
        </w:tc>
      </w:tr>
    </w:tbl>
    <w:p/>
    <w:p>
      <w:r>
        <w:t>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p>
      <w:pPr>
        <w:pStyle w:val="Heading2"/>
      </w:pPr>
      <w:r>
        <w:t>1 Alcance y procedencia</w:t>
      </w:r>
    </w:p>
    <w:p>
      <w:r>
        <w:t>VS01 — Aseguramiento de fruta exportable: recepción de bins → selección/calibrado → empaque → pre-frío según ruta → cámara → carga, precintado y entrega del FCL refrigerado al transportista en rampa. La descripción organiza una propuesta DE sobre roles funcionales del expediente; no acredita organigrama corporativo ni entrevistas. Un servicio de negocio entrega un resultado a un consumidor; soporte de aplicación e interfaces quedan por estudiar en dominios posteriores.</w:t>
      </w:r>
    </w:p>
    <w:p>
      <w:pPr>
        <w:pStyle w:val="Heading2"/>
      </w:pPr>
      <w:r>
        <w:t>2 Actores y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19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Actor / rol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Ejecución, accountability y estado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 Operaciones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Coordina alcance y excepciones; sponsor funcional y autoridad NV-08. ROL-AB/ROL-EA son gobierno de arquitectura, no aprobación de salida.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 Calidad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Revisa historia/evidencia y decide liberación de calidad según regla ratificada. Consumidor de historia/térmica. No responde por condición de despacho por equivalencia.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STK-03 Frío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Custodia/evalúa evidencia térmica en tramo aplicable; responde por calidad de esa evidencia. No sustituye liberación de Calidad.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STK-05 Operadores / emisor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Registra y transfiere identidad, eventos y excepciones; responsabilidades por etapa NV-08.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STK-06 Despacho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Coordina carga/precinto/entrega FCL; responde por su condición de despacho y aceptación del transportista. Verifica liberación de calidad independiente.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Transportista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Receptor inmediato en rampa; acepta/observa entrega según evidencia y documentos confirmados NV-08. Sin alcance marítimo.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STK-04 IT/OT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Asesora soporte, continuidad y permisos; no es quien libera calidad ni decide despacho.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ROL-B01 Gestor de evidencia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Función DE propuesta ejecutora de preparación/recuperación; accountable STK-02. No se afirma nuevo puesto o ausencia previa.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ROL-B02 Responsable de medición</w:t>
            </w:r>
          </w:p>
        </w:tc>
        <w:tc>
          <w:tcPr>
            <w:tcW w:type="dxa" w:w="6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Formaliza función DE de ROL-MC en U-B06; conserva correspondencia, no crea capacidad redundante. Propuesta por ratificar.</w:t>
            </w:r>
          </w:p>
        </w:tc>
      </w:tr>
    </w:tbl>
    <w:p/>
    <w:p>
      <w:pPr>
        <w:pStyle w:val="Heading2"/>
      </w:pPr>
      <w:r>
        <w:t>3 Catálogo de servicios</w:t>
      </w:r>
    </w:p>
    <w:p>
      <w:pPr>
        <w:pStyle w:val="Heading2"/>
      </w:pPr>
      <w:r>
        <w:t>3.1 BSV-C01 · Historia auditable por solicitud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386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Especificación 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Ejecuta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ROL-B01 Gestor de evidencia prepara/recupera (DE); STK-02 revisa y entrega historia validada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Responde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 Calidad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Consume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Calidad; STK-06 Despacho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Objetos de negocio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BO-B01 Historia y genealogía; BO-B05 registro de eventos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Resultado / aceptación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AC-B02: ≤30 min en cada caso acordado, con historia revisada y procedencia.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Trace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REQ-01;REQ-02; B-04; B-08; estado propuesto, no ejecutado.</w:t>
            </w:r>
          </w:p>
        </w:tc>
      </w:tr>
    </w:tbl>
    <w:p/>
    <w:p>
      <w:pPr>
        <w:pStyle w:val="Heading2"/>
      </w:pPr>
      <w:r>
        <w:t>3.2 BSV-C02 · Coordinación de entrega al transportista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386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Especificación 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Ejecuta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STK-06 Despacho y emisor de cámara (NV-08)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Responde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STK-06 para condición de despacho; STK-02 mantiene liberación de calidad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Consume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Transportista receptor inmediato; Operaciones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Objetos de negocio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BO-B02 Acta de handoff; BO-B03 liberación de calidad; BO-B04 condición de despacho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Resultado / aceptación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AC-B06: verificar ambos estados y aceptación/ excepción sin sustituir autoridades.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Trace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REQ-06; B-04; B-08; estado propuesto, no ejecutado.</w:t>
            </w:r>
          </w:p>
        </w:tc>
      </w:tr>
    </w:tbl>
    <w:p/>
    <w:p>
      <w:pPr>
        <w:pStyle w:val="Heading2"/>
      </w:pPr>
      <w:r>
        <w:t>3.3 BSV-C03 · Resolución controlada de excepciones de negocio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386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Especificación 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Ejecuta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Emisor/receptor afectados; coordinador STK-01 propuesto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Responde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 Operaciones; deriva a STK-02/03/06 según decisión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Consume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Operadores; Calidad; Frío; Despacho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Objetos de negocio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BO-B06 Registro de excepción, decisión y cierre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Resultado / aceptación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AC-B06: responsable, causa, acción, decisión y cierre identificables; bloqueo/derivación según regla acordada.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Trace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REQ-03;REQ-06; B-04; B-08; estado propuesto, no ejecutado.</w:t>
            </w:r>
          </w:p>
        </w:tc>
      </w:tr>
    </w:tbl>
    <w:p/>
    <w:p>
      <w:pPr>
        <w:pStyle w:val="Heading2"/>
      </w:pPr>
      <w:r>
        <w:t>3.4 BSV-C04 · Evaluación de evidencia térmica y custodia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386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Especificación 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Ejecuta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STK-03 Frío y custodios por confirmar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Responde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STK-03 sobre evidencia térmica; STK-02 sobre liberación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Consume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Calidad; Despacho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Objetos de negocio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BO-B07 Serie térmica y custodia; BO-B02 handoff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Resultado / aceptación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AC-B04: KPI-02 con fuente y denominador independiente; faltantes no son éxitos.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Trace</w:t>
            </w:r>
          </w:p>
        </w:tc>
        <w:tc>
          <w:tcPr>
            <w:tcW w:type="dxa" w:w="7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REQ-04; B-04; B-08; estado propuesto, no ejecutado.</w:t>
            </w:r>
          </w:p>
        </w:tc>
      </w:tr>
    </w:tbl>
    <w:p/>
    <w:p>
      <w:pPr>
        <w:pStyle w:val="Heading2"/>
      </w:pPr>
      <w:r>
        <w:t>4 Objetos y estados independientes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762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Objeto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Contenido / autoridad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BO-B01 Historia y genealogía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Vínculos bin/batch/pallet/FCL y procedencia, división/agrupación; Calidad revisa.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BO-B02 Handoff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Emisor/receptor, unidad, información entregada, instante, aceptación o excepción; cada parte confirma.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BO-B03 Liberación de Calidad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Decisión propia de Calidad, autoridad STK-02 por ratificar; evidencia/restricción/fecha/responsable.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BO-B04 Condición de Despacho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Decisión de entrega/carga/precinto por STK-06; no deriva automáticamente de BO-B03.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BO-B05 Registro de eventos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Eventos esperados, capturados y reconciliados con identidad/procedencia; no se diseña tabla técnica.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BO-B06 Excepción de negocio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Discrepancia, impacto, autoridad, tratamiento y cierre; no solo error TI.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BO-B07 Serie térmica y custodia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Fuente/reloj/intervalo/rango/vínculo pallet–ubicación y transferencias; existencia/suficiencia NV-05.</w:t>
            </w:r>
          </w:p>
        </w:tc>
      </w:tr>
    </w:tbl>
    <w:p/>
    <w:p>
      <w:r>
        <w:t>Los objetos son conceptos propuestos y sus formas reales están pendientes; no se afirma que ya existan documentos homónimos. El XML representa BO-B01/03/04/07; los otros se detallan aquí y no se declaran dibujados.</w:t>
      </w:r>
    </w:p>
    <w:p>
      <w:pPr>
        <w:pStyle w:val="Heading2"/>
      </w:pPr>
      <w:r>
        <w:t>5 Handoffs del value stream y variantes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762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Transferencia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Emite → recibe / condición propuesta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Recepción→calibrado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Recepción → operador calibrado. Bin/lote identificado y recepción aceptada o excepción.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Calibrado→empaque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Operador calibrado → empaque. Registrar divisiones/agrupaciones batch/pallet y conciliación.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Empaque→pre-frío/cámara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Empaque → custodio Frío. Pallet, ruta térmica aplicable y aceptación. NV-08 decide pre-frío o variante refrigerada.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Pre-frío→cámara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Custodios Frío → cámara. Registrar pallet/ubicación, evidencia y cambio de custodia según ruta.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Cámara→Despacho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Custodio cámara → Despacho. Identidad/historia, evidencia térmica y estado de Calidad visibles; excepción se deriva a autoridad.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Despacho→transportista</w:t>
            </w:r>
          </w:p>
        </w:tc>
        <w:tc>
          <w:tcPr>
            <w:tcW w:type="dxa" w:w="6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Despacho → transportista en rampa. FCL, carga/precinto, documentos disponibles, condición propia y aceptación/observación; confirmar NV-08.</w:t>
            </w:r>
          </w:p>
        </w:tc>
      </w:tr>
    </w:tbl>
    <w:p/>
    <w:p>
      <w:r>
        <w:t>Para cada traspaso confirmar cargo/turno, unidad, datos mínimos, tiempo, aceptación y excepciones con NV-08. El flujo de Triggering del modelo es el caso normal propuesto: una liberación no autoriza por sí sola salida; ante faltantes, reglas de bloqueo/derivación y responsables deben acordarse. Pruebas AC-B01/04/06 previstas; no entrevistas ni walkthroughs ejecutados.</w:t>
      </w:r>
    </w:p>
    <w:p>
      <w:pPr>
        <w:pStyle w:val="Heading2"/>
      </w:pPr>
      <w:r>
        <w:t>6 Validación y referencias</w:t>
      </w:r>
    </w:p>
    <w:p>
      <w:r>
        <w:t>Owner de revisión propuesto STK-01 con STK-02/03/05/06; IT/OT asesora soporte. Baseline real de roles/servicios/handoffs NE; validar NV-08, fuentes NV-03/05 y protocolo NV-07. Rutas de autoridad en B-09; requisitos en maestro transversal; figuras B-V01/B-V02 en B-01 y XML B-06. Cualquier acuerdo posterior requiere versión y evidencia; este documento no otorga mandato.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mposol1" Type="http://schemas.openxmlformats.org/officeDocument/2006/relationships/image" Target="media/camposol_1.png"/><Relationship Id="rIdCamposol2" Type="http://schemas.openxmlformats.org/officeDocument/2006/relationships/image" Target="media/camposol_2.png"/><Relationship Id="rIdCamposol3" Type="http://schemas.openxmlformats.org/officeDocument/2006/relationships/image" Target="media/camposol_3.png"/><Relationship Id="rIdCamposol4" Type="http://schemas.openxmlformats.org/officeDocument/2006/relationships/image" Target="media/camposol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Organización y servicios de negocio</dc:title>
  <dc:subject>Camposol Chao · B-05 · v0.2 · borrador académico condicionado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