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color w:val="000000"/>
        </w:rPr>
        <w:t xml:space="preserve">Visión de arquitectura</w:t>
      </w:r>
    </w:p>
    <w:p>
      <w:pPr>
        <w:pStyle w:val="Normal"/>
      </w:pPr>
      <w:r>
        <w:rPr/>
        <w:t xml:space="preserve">Camposol S.A. · Planta Packing Chao · Grupo 04 · SI605</w:t>
      </w:r>
    </w:p>
    <w:p>
      <w:pPr>
        <w:pStyle w:val="Normal"/>
      </w:pPr>
      <w:r>
        <w:rPr/>
        <w:t xml:space="preserve">Lectura de códigos: PRE es Preliminary y A Phase A; D/DRV driver; OBJ objetivo; OUT resultado; KPI indicador; MED medida candidata; VS value stream; C4/H1/C3 y CAP-A capacidades; C01…06 concerns; STK stakeholder; ROL función; PR principio; REQ requisito; VP viewpoint; VIEW vista; MODEL/M modelo; DEC decisión; CP correspondencia; F fuente. HP: hecho público con fuente y alcance; IA: escenario asistido por IA; SV: supuesto por validar; DE: propuesta/decisión académica; NV: información faltante. NE significa no evaluado, nunca cero. Las propuestas nuevas de este paquete son DE asistidas por IA-07; no se declara acuerdo del equipo.</w:t>
      </w:r>
    </w:p>
    <w:tbl>
      <w:tblPr>
        <w:jc w:val="center"/>
        <w:tblLook w:firstColumn="1" w:firstRow="1" w:lastColumn="0" w:lastRow="0" w:noHBand="0" w:noVBand="1" w:val="04A0"/>
        <w:tblW w:w="9314" w:type="dxa"/>
        <w:tblLayout w:type="fixed"/>
      </w:tblPr>
      <w:tblGrid>
        <w:gridCol w:w="2701"/>
        <w:gridCol w:w="6613"/>
      </w:tblGrid>
      <w:tr>
        <w:trPr>
          <w:cantSplit/>
          <w:tblHeader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2701" w:type="dxa"/>
          </w:tcPr>
          <w:p>
            <w:pPr>
              <w:pStyle w:val="Normal"/>
            </w:pPr>
            <w:r>
              <w:rPr>
                <w:b/>
              </w:rPr>
              <w:t xml:space="preserve">Control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6613" w:type="dxa"/>
          </w:tcPr>
          <w:p>
            <w:pPr>
              <w:pStyle w:val="Normal"/>
            </w:pPr>
            <w:r>
              <w:rPr>
                <w:b/>
              </w:rPr>
              <w:t xml:space="preserve">Valor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ID / fase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A-02 · Phase A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Versión / estado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v0.1 · Draft académico; propuesta del asistente DE; sin aprobación del equipo ni corporativa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Owner / fecha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ROL-EA Arquitecto líder propuesto · elaboración 2026-10-15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Propósito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Ver sección 1; Visión de arquitectura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Inputs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PRE-03 contexto, PRE-04 principios, A-01 assessment, BS-01; borrador A-02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Outputs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AV-01, alcance, Target conceptual, cuatro vistas y criterios de valor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Base de edición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A-02_Camposol_Architecture_Vision.docx; copia del original homónimo, diseño conservado; conciliaciones EQ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Antecedente vigente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03_Architecture_Repository/05_Reference_Library/Antecedentes/PC1_Corregida.docx; 03_Architecture_Repository/05_Reference_Library/Antecedentes/Registro_Correcciones_PC1.md</w:t>
            </w:r>
          </w:p>
        </w:tc>
      </w:tr>
    </w:tbl>
    <w:p>
      <w:pPr>
        <w:pStyle w:val="Heading2"/>
        <w:keepNext/>
      </w:pPr>
      <w:r>
        <w:rPr>
          <w:color w:val="000000"/>
        </w:rPr>
        <w:t xml:space="preserve">1 Propósito y oportunidad</w:t>
      </w:r>
    </w:p>
    <w:p>
      <w:pPr>
        <w:pStyle w:val="Normal"/>
      </w:pPr>
      <w:r>
        <w:rPr/>
        <w:t xml:space="preserve">Definir dirección compartida para el aseguramiento de fruta exportable. El crecimiento justifica observar si coordinación, identidad, evidencia y continuidad son suficientes; no acredita falla interna. Se conserva del borrador la atención a handoffs, custodia, estados diferenciados y excepciones, enlazada al framing vigente.</w:t>
      </w:r>
    </w:p>
    <w:p>
      <w:pPr>
        <w:pStyle w:val="Heading2"/>
        <w:keepNext/>
      </w:pPr>
      <w:r>
        <w:rPr>
          <w:color w:val="000000"/>
        </w:rPr>
        <w:t xml:space="preserve">2 Declaración de visión AV-01</w:t>
      </w:r>
    </w:p>
    <w:p>
      <w:pPr>
        <w:pStyle w:val="Normal"/>
      </w:pPr>
      <w:r>
        <w:rPr/>
        <w:t xml:space="preserve">AV-01 — Architecture Vision propuesta DE: sostener el flujo de Chao con identidad y evidencia consultables, custodia térmica comprobable, transferencias con responsables/aceptación claros y captura/reconciliación controladas; evaluar alternativas con datos y medir resultados sin confundir liberación de Calidad con condición de despacho.</w:t>
      </w:r>
    </w:p>
    <w:p>
      <w:pPr>
        <w:pStyle w:val="Normal"/>
      </w:pPr>
      <w:r>
        <w:rPr/>
        <w:t xml:space="preserve">Beneficio esperado: mejor información para decidir y comprobar la entrega. Reducciones reales de demoras/reclamos, ahorro neto, ROI y certificación garantizada no están demostrados. El escenario financiero de PRE-03 es IA y no se atribuye causalmente a un nodo.</w:t>
      </w:r>
    </w:p>
    <w:p>
      <w:pPr>
        <w:pStyle w:val="Heading2"/>
        <w:keepNext/>
      </w:pPr>
      <w:r>
        <w:rPr>
          <w:color w:val="000000"/>
        </w:rPr>
        <w:t xml:space="preserve">3 Alcance breadth depth time domains</w:t>
      </w:r>
    </w:p>
    <w:tbl>
      <w:tblPr>
        <w:jc w:val="center"/>
        <w:tblLook w:firstColumn="1" w:firstRow="1" w:lastColumn="0" w:lastRow="0" w:noHBand="0" w:noVBand="1" w:val="04A0"/>
        <w:tblW w:w="9314" w:type="dxa"/>
        <w:tblLayout w:type="fixed"/>
      </w:tblPr>
      <w:tblGrid>
        <w:gridCol w:w="2701"/>
        <w:gridCol w:w="6613"/>
      </w:tblGrid>
      <w:tr>
        <w:trPr>
          <w:cantSplit/>
          <w:tblHeader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2701" w:type="dxa"/>
          </w:tcPr>
          <w:p>
            <w:pPr>
              <w:pStyle w:val="Normal"/>
            </w:pPr>
            <w:r>
              <w:rPr>
                <w:b/>
              </w:rPr>
              <w:t xml:space="preserve">Dimensión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6613" w:type="dxa"/>
          </w:tcPr>
          <w:p>
            <w:pPr>
              <w:pStyle w:val="Normal"/>
            </w:pPr>
            <w:r>
              <w:rPr>
                <w:b/>
              </w:rPr>
              <w:t xml:space="preserve">Definición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Breadth amplitud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VS01 — Aseguramiento de fruta exportable: recepción de bins → selección/calibrado → empaque → pre-frío según ruta → cámara → carga, precintado y entrega del FCL refrigerado al transportista en rampa.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Depth profundidad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Conceptual extremo a extremo; foco en identidad, consultas, frío/custodia, handoffs y continuidad; sin interfaces físicas detalladas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Time horizonte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2026–2027 propuesto DE. Trabajo A-S1…A-S6 separado de BC-S1…BC-S6 y del piloto semana8/16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Domains dominios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Negocio, datos, aplicaciones y tecnología con requisitos de calidad/autoridad transversales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Interfaces/exclusiones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Una planta y un value stream. Se conservan variantes de recepción de fruta refrigerada y pre-frío según ruta (NV-08). Campo, transporte marítimo, puertos, distribución internacional y rediseño del ERP corporativo quedan fuera. El cliente internacional es beneficiario final; el transportista es receptor inmediato.</w:t>
            </w:r>
          </w:p>
        </w:tc>
      </w:tr>
    </w:tbl>
    <w:p>
      <w:pPr>
        <w:pStyle w:val="Heading2"/>
        <w:keepNext/>
      </w:pPr>
      <w:r>
        <w:rPr>
          <w:color w:val="000000"/>
        </w:rPr>
        <w:t xml:space="preserve">4 Baseline y Target conceptuales</w:t>
      </w:r>
    </w:p>
    <w:tbl>
      <w:tblPr>
        <w:jc w:val="center"/>
        <w:tblLook w:firstColumn="1" w:firstRow="1" w:lastColumn="0" w:lastRow="0" w:noHBand="0" w:noVBand="1" w:val="04A0"/>
        <w:tblW w:w="9314" w:type="dxa"/>
        <w:tblLayout w:type="fixed"/>
      </w:tblPr>
      <w:tblGrid>
        <w:gridCol w:w="2142"/>
        <w:gridCol w:w="3726"/>
        <w:gridCol w:w="3446"/>
      </w:tblGrid>
      <w:tr>
        <w:trPr>
          <w:cantSplit/>
          <w:tblHeader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2142" w:type="dxa"/>
          </w:tcPr>
          <w:p>
            <w:pPr>
              <w:pStyle w:val="Normal"/>
            </w:pPr>
            <w:r>
              <w:rPr>
                <w:b/>
              </w:rPr>
              <w:t xml:space="preserve">Aspecto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3726" w:type="dxa"/>
          </w:tcPr>
          <w:p>
            <w:pPr>
              <w:pStyle w:val="Normal"/>
            </w:pPr>
            <w:r>
              <w:rPr>
                <w:b/>
              </w:rPr>
              <w:t xml:space="preserve">Baseline disponible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3446" w:type="dxa"/>
          </w:tcPr>
          <w:p>
            <w:pPr>
              <w:pStyle w:val="Normal"/>
            </w:pPr>
            <w:r>
              <w:rPr>
                <w:b/>
              </w:rPr>
              <w:t xml:space="preserve">Target lógico propuesto DE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Operación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Etapas y roles del caso; procedimientos/autoridad NV-08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Handoffs definidos, estados separados, excepciones con evidencia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Identidad e historia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Reglas/modelo PC1 propuestos; desempeño IA, medición local NE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Genealogía y procedencia consultables bajo protocolo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Frío/custodia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65% por pallet IA; registros locales NV-05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≥95% propuesto solo si fuente/ruta/protocolo suficientes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Continuidad/acceso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Red, interfaces y permisos NV; no fallas afirmadas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Preservar/reconciliar y auditar sin imponer una plataforma</w:t>
            </w:r>
          </w:p>
        </w:tc>
      </w:tr>
    </w:tbl>
    <w:p>
      <w:pPr>
        <w:pStyle w:val="Heading2"/>
        <w:keepNext/>
      </w:pPr>
      <w:r>
        <w:rPr>
          <w:color w:val="000000"/>
        </w:rPr>
        <w:t xml:space="preserve">5 Stakeholders y concerns</w:t>
      </w:r>
    </w:p>
    <w:tbl>
      <w:tblPr>
        <w:jc w:val="center"/>
        <w:tblLook w:firstColumn="1" w:firstRow="1" w:lastColumn="0" w:lastRow="0" w:noHBand="0" w:noVBand="1" w:val="04A0"/>
        <w:tblW w:w="9314" w:type="dxa"/>
        <w:tblLayout w:type="fixed"/>
      </w:tblPr>
      <w:tblGrid>
        <w:gridCol w:w="2142"/>
        <w:gridCol w:w="3726"/>
        <w:gridCol w:w="3446"/>
      </w:tblGrid>
      <w:tr>
        <w:trPr>
          <w:cantSplit/>
          <w:tblHeader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2142" w:type="dxa"/>
          </w:tcPr>
          <w:p>
            <w:pPr>
              <w:pStyle w:val="Normal"/>
            </w:pPr>
            <w:r>
              <w:rPr>
                <w:b/>
              </w:rPr>
              <w:t xml:space="preserve">Rol propuesto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3726" w:type="dxa"/>
          </w:tcPr>
          <w:p>
            <w:pPr>
              <w:pStyle w:val="Normal"/>
            </w:pPr>
            <w:r>
              <w:rPr>
                <w:b/>
              </w:rPr>
              <w:t xml:space="preserve">Concerns PC1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3446" w:type="dxa"/>
          </w:tcPr>
          <w:p>
            <w:pPr>
              <w:pStyle w:val="Normal"/>
            </w:pPr>
            <w:r>
              <w:rPr>
                <w:b/>
              </w:rPr>
              <w:t xml:space="preserve">Decisión o revisión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STK-01 Gerencia de Operaciones Chao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C02;C03;C05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Coordinar alcance y recursos; sponsor funcional propuesto, autoridad NV-08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STK-02 Calidad e Inocuidad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C01;C06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Revisar historia, liberación y evidencia; no equivale a despacho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STK-03 Cadena de Frío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C01;C06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Validar evidencia térmica, ruta y custodia por pallet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STK-04 Arquitectura IT/OT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C03;C04;C05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Evaluar soporte local, interfaces, continuidad y acceso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STK-05 Operadores de Línea y Packing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C02;C03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Revisar captura, usabilidad y efecto sobre ritmo de trabajo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STK-06 Despacho y Exportación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C01;C06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Verificar entrega al transportista y documentación disponible en el hito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STK-07 Dirección de Transformación Digital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C04;C05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Revisar valor, condiciones y recursos; ROI neto no demostrado</w:t>
            </w:r>
          </w:p>
        </w:tc>
      </w:tr>
    </w:tbl>
    <w:p>
      <w:pPr>
        <w:pStyle w:val="Normal"/>
      </w:pPr>
      <w:r>
        <w:rPr/>
        <w:t xml:space="preserve">C01 historia; C02 usabilidad; C03 offline; C04 seguridad, fundamental para IT/OT; C05 viabilidad/valor; C06 custodia térmica. Cubiertos por viewpoints/vistas del catálogo; no constituyen participación real.</w:t>
      </w:r>
    </w:p>
    <w:p>
      <w:pPr>
        <w:pStyle w:val="Heading2"/>
        <w:keepNext/>
      </w:pPr>
      <w:r>
        <w:rPr>
          <w:color w:val="000000"/>
        </w:rPr>
        <w:t xml:space="preserve">6 Escenario resumido BS-01</w:t>
      </w:r>
    </w:p>
    <w:p>
      <w:pPr>
        <w:pStyle w:val="Normal"/>
      </w:pPr>
      <w:r>
        <w:rPr/>
        <w:t xml:space="preserve">BS-01 — Business Scenario IA-07: ante transferencia de cámara a despacho, receptor solicita evidencia de una unidad; se verifica identidad, liberación de Calidad y condición documental, se reconstruye historia y se contrasta ruta térmica. Si falta información o hay corte externo, se registra excepción, conserva evidencia y se reconcilia conforme a protocolo; no se autoriza despacho por equivalencia de estados. A-06 desarrolla actores, excepción y pruebas.</w:t>
      </w:r>
    </w:p>
    <w:p>
      <w:pPr>
        <w:pStyle w:val="Heading2"/>
        <w:keepNext/>
      </w:pPr>
      <w:r>
        <w:rPr>
          <w:color w:val="000000"/>
        </w:rPr>
        <w:t xml:space="preserve">7 Capacidades resultados y medidas</w:t>
      </w:r>
    </w:p>
    <w:tbl>
      <w:tblPr>
        <w:jc w:val="center"/>
        <w:tblLook w:firstColumn="1" w:firstRow="1" w:lastColumn="0" w:lastRow="0" w:noHBand="0" w:noVBand="1" w:val="04A0"/>
        <w:tblW w:w="9314" w:type="dxa"/>
        <w:tblLayout w:type="fixed"/>
      </w:tblPr>
      <w:tblGrid>
        <w:gridCol w:w="2142"/>
        <w:gridCol w:w="3726"/>
        <w:gridCol w:w="3446"/>
      </w:tblGrid>
      <w:tr>
        <w:trPr>
          <w:cantSplit/>
          <w:tblHeader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2142" w:type="dxa"/>
          </w:tcPr>
          <w:p>
            <w:pPr>
              <w:pStyle w:val="Normal"/>
            </w:pPr>
            <w:r>
              <w:rPr>
                <w:b/>
              </w:rPr>
              <w:t xml:space="preserve">KPI y unidad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3726" w:type="dxa"/>
          </w:tcPr>
          <w:p>
            <w:pPr>
              <w:pStyle w:val="Normal"/>
            </w:pPr>
            <w:r>
              <w:rPr>
                <w:b/>
              </w:rPr>
              <w:t xml:space="preserve">Baseline y target del escenario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3446" w:type="dxa"/>
          </w:tcPr>
          <w:p>
            <w:pPr>
              <w:pStyle w:val="Normal"/>
            </w:pPr>
            <w:r>
              <w:rPr>
                <w:b/>
              </w:rPr>
              <w:t xml:space="preserve">Regla de medición y condición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KPI-01 Reconstrucción de historia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120 min [IA-01] → ≤30 min [DE; origen IA-04/06]</w:t>
            </w:r>
            <w:r>
              <w:rPr/>
              <w:br/>
              <w:t xml:space="preserve">Cierre deseado semana 16 de eventual piloto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Minutos t1−t0 por solicitud completa de lote operativo: t0 solicitud completa; t1 historia entregada y revisada por Calidad; incluye trabajo manual. Cada caso acordado debe cumplir; caso incompleto falla.</w:t>
            </w:r>
            <w:r>
              <w:rPr/>
              <w:br/>
              <w:t xml:space="preserve">Owner propuesto STK-02; NV-03;NV-07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KPI-02 Cobertura térmica y custodia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65 % por pallet [IA-01/06; no derivado de lecturas en papel] → ≥95 % [DE, condicional a NV-05/07]</w:t>
            </w:r>
            <w:r>
              <w:rPr/>
              <w:br/>
              <w:t xml:space="preserve">Cierre deseado semana 16 de eventual piloto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100 × pallets despachados con serie térmica válida e identidad/custodia trazables desde tramo frío aplicable al handoff / total de pallets despachados únicos del periodo. Faltantes no son éxitos; población desconocida = NE.</w:t>
            </w:r>
            <w:r>
              <w:rPr/>
              <w:br/>
              <w:t xml:space="preserve">Owner propuesto STK-03; NV-05;NV-07;NV-08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KPI-03 Captura digital al primer intento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0 % [SV de PC1; no medición real] → ≥90 % [DE]</w:t>
            </w:r>
            <w:r>
              <w:rPr/>
              <w:br/>
              <w:t xml:space="preserve">Checkpoint semana 8 de eventual piloto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100 × eventos esperados únicos capturados digitalmente al primer intento / eventos esperados únicos del control independiente. Conciliar duplicados; no usar solo eventos existentes como denominador.</w:t>
            </w:r>
            <w:r>
              <w:rPr/>
              <w:br/>
              <w:t xml:space="preserve">Owner propuesto STK-05; NV-03;NV-07</w:t>
            </w:r>
          </w:p>
        </w:tc>
      </w:tr>
    </w:tbl>
    <w:p>
      <w:pPr>
        <w:pStyle w:val="Normal"/>
      </w:pPr>
      <w:r>
        <w:rPr/>
        <w:t xml:space="preserve">OUT01 se vincula a C4/H1 para KPI-01 y C3/C4 para KPI-02. VS01 entrega valor a través de las seis etapas; CAP-A01/02/03 complementan coordinación, medición y excepciones. MED-A01…05 conservan los indicadores candidatos del borrador sin usurpar KPI PC1.</w:t>
      </w:r>
    </w:p>
    <w:p>
      <w:pPr>
        <w:pStyle w:val="Heading2"/>
        <w:keepNext/>
      </w:pPr>
      <w:r>
        <w:rPr>
          <w:color w:val="000000"/>
        </w:rPr>
        <w:t xml:space="preserve">8 Vista de motivación</w:t>
      </w:r>
    </w:p>
    <w:p xmlns:a="http://schemas.openxmlformats.org/drawingml/2006/main" xmlns:pic="http://schemas.openxmlformats.org/drawingml/2006/picture">
      <w:r>
        <w:drawing>
          <wp:inline>
            <wp:extent cx="5914390" cy="4730660"/>
            <wp:docPr id="101" name="VIEW-A01" descr="Motivación de la visión"/>
            <a:graphic>
              <a:graphicData uri="http://schemas.openxmlformats.org/drawingml/2006/picture">
                <pic:pic>
                  <pic:nvPicPr>
                    <pic:cNvPr id="0" name="VIEW-A01"/>
                    <pic:cNvPicPr/>
                  </pic:nvPicPr>
                  <pic:blipFill>
                    <a:blip r:embed="rIdCamposol1"/>
                    <a:stretch>
                      <a:fillRect/>
                    </a:stretch>
                  </pic:blipFill>
                  <pic:spPr>
                    <a:xfrm>
                      <a:off x="0" y="0"/>
                      <a:ext cx="5914390" cy="473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t xml:space="preserve">VIEW-A01 Motivación de la visión · VP-A01 · M-A01 · v0.1 · owner ROL-EA · concerns C01;C05;C06 · Mapa documental conceptual; no ArchiMate formal.</w:t>
      </w:r>
    </w:p>
    <w:p>
      <w:pPr>
        <w:pStyle w:val="Normal"/>
      </w:pPr>
      <w:r>
        <w:rPr/>
        <w:t xml:space="preserve">Elementos/relaciones: D1/D3→OBJ01→OUT01→KPI-01/02→REQ-02/04; D2/DRV-A01→OBJ-A01/02; PR y concerns orientan REQ. Fuente: IA-07; PC1 §§3,8; borrador A-02 §§8–9. Editable: 03_Architecture_Repository/03_Architecture_Landscape/Strategic/M-A01_Motivacion.svg</w:t>
      </w:r>
    </w:p>
    <w:p>
      <w:pPr>
        <w:pStyle w:val="Normal"/>
      </w:pPr>
      <w:r>
        <w:rPr/>
        <w:t xml:space="preserve">D1/D3 motivan OBJ01 y OUT01; KPI-01/02 operacionalizan resultados propuestos; REQ-02/04 concretan la prueba futura. D2 y DRV-A01 complementan los objetivos de handoffs/picos. PR-01…06 orientan requisitos. Son relaciones documentales, no semántica ArchiMate formal.</w:t>
      </w:r>
    </w:p>
    <w:p>
      <w:pPr>
        <w:pStyle w:val="Heading2"/>
        <w:keepNext/>
      </w:pPr>
      <w:r>
        <w:rPr>
          <w:color w:val="000000"/>
        </w:rPr>
        <w:t xml:space="preserve">9 Vista de estrategia</w:t>
      </w:r>
    </w:p>
    <w:p xmlns:a="http://schemas.openxmlformats.org/drawingml/2006/main" xmlns:pic="http://schemas.openxmlformats.org/drawingml/2006/picture">
      <w:r>
        <w:drawing>
          <wp:inline>
            <wp:extent cx="5914390" cy="4730660"/>
            <wp:docPr id="102" name="VIEW-A02" descr="Estrategia y capacidades"/>
            <a:graphic>
              <a:graphicData uri="http://schemas.openxmlformats.org/drawingml/2006/picture">
                <pic:pic>
                  <pic:nvPicPr>
                    <pic:cNvPr id="0" name="VIEW-A02"/>
                    <pic:cNvPicPr/>
                  </pic:nvPicPr>
                  <pic:blipFill>
                    <a:blip r:embed="rIdCamposol2"/>
                    <a:stretch>
                      <a:fillRect/>
                    </a:stretch>
                  </pic:blipFill>
                  <pic:spPr>
                    <a:xfrm>
                      <a:off x="0" y="0"/>
                      <a:ext cx="5914390" cy="473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t xml:space="preserve">VIEW-A02 Estrategia y capacidades · VP-A02 · M-A02 · v0.1 · owner ROL-EA · concerns C01;C05;C06 · Mapa de valor y capacidades conceptual; no ArchiMate formal.</w:t>
      </w:r>
    </w:p>
    <w:p>
      <w:pPr>
        <w:pStyle w:val="Normal"/>
      </w:pPr>
      <w:r>
        <w:rPr/>
        <w:t xml:space="preserve">Elementos/relaciones: OUT01/OUT-A01/02 se vinculan a VS01; C4/H1 y C3 contribuyen a KPI-01/02; capacidades de coordinación/medición/excepción complementan. Fuente: IA-07; PC1 §4; borrador A-02 §9. Editable: 03_Architecture_Repository/03_Architecture_Landscape/Strategic/M-A02_Estrategia.svg</w:t>
      </w:r>
    </w:p>
    <w:p>
      <w:pPr>
        <w:pStyle w:val="Normal"/>
      </w:pPr>
      <w:r>
        <w:rPr/>
        <w:t xml:space="preserve">Las capacidades apoyan el value stream; ninguna capacidad es una app o el proyecto I1. Los scores IA y targets propuestos no se deducen de una línea del gráfico. VIEW-01 de PC1 mantiene su semántica ER y no se renombra como motivación.</w:t>
      </w:r>
    </w:p>
    <w:p>
      <w:pPr>
        <w:pStyle w:val="Heading2"/>
        <w:keepNext/>
      </w:pPr>
      <w:r>
        <w:rPr>
          <w:color w:val="000000"/>
        </w:rPr>
        <w:t xml:space="preserve">10 Alcance y concepto de solución</w:t>
      </w:r>
    </w:p>
    <w:p xmlns:a="http://schemas.openxmlformats.org/drawingml/2006/main" xmlns:pic="http://schemas.openxmlformats.org/drawingml/2006/picture">
      <w:r>
        <w:drawing>
          <wp:inline>
            <wp:extent cx="5914390" cy="4730660"/>
            <wp:docPr id="103" name="VIEW-A03" descr="Alcance y contexto de Chao"/>
            <a:graphic>
              <a:graphicData uri="http://schemas.openxmlformats.org/drawingml/2006/picture">
                <pic:pic>
                  <pic:nvPicPr>
                    <pic:cNvPr id="0" name="VIEW-A03"/>
                    <pic:cNvPicPr/>
                  </pic:nvPicPr>
                  <pic:blipFill>
                    <a:blip r:embed="rIdCamposol3"/>
                    <a:stretch>
                      <a:fillRect/>
                    </a:stretch>
                  </pic:blipFill>
                  <pic:spPr>
                    <a:xfrm>
                      <a:off x="0" y="0"/>
                      <a:ext cx="5914390" cy="473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t xml:space="preserve">VIEW-A03 Alcance y contexto de Chao · VP-A03 · M-A03 · v0.1 · owner ROL-EA · concerns C02;C06 · Contexto conceptual; no BPMN AS-IS.</w:t>
      </w:r>
    </w:p>
    <w:p>
      <w:pPr>
        <w:pStyle w:val="Normal"/>
      </w:pPr>
      <w:r>
        <w:rPr/>
        <w:t xml:space="preserve">Elementos/relaciones: Seis etapas y handoffs; proveedor y transportista externos; pre-frío según ruta y autoridad NV-08. Fuente: IA-07; PC1 §2; borrador A-02 §10. Editable: 03_Architecture_Repository/03_Architecture_Landscape/Segment/M-A03_Contexto.svg</w:t>
      </w:r>
    </w:p>
    <w:p xmlns:a="http://schemas.openxmlformats.org/drawingml/2006/main" xmlns:pic="http://schemas.openxmlformats.org/drawingml/2006/picture">
      <w:r>
        <w:drawing>
          <wp:inline>
            <wp:extent cx="5914390" cy="4730660"/>
            <wp:docPr id="104" name="VIEW-A04" descr="Concepto de solución y alternativas"/>
            <a:graphic>
              <a:graphicData uri="http://schemas.openxmlformats.org/drawingml/2006/picture">
                <pic:pic>
                  <pic:nvPicPr>
                    <pic:cNvPr id="0" name="VIEW-A04"/>
                    <pic:cNvPicPr/>
                  </pic:nvPicPr>
                  <pic:blipFill>
                    <a:blip r:embed="rIdCamposol4"/>
                    <a:stretch>
                      <a:fillRect/>
                    </a:stretch>
                  </pic:blipFill>
                  <pic:spPr>
                    <a:xfrm>
                      <a:off x="0" y="0"/>
                      <a:ext cx="5914390" cy="473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t xml:space="preserve">VIEW-A04 Concepto de solución y alternativas · VP-A04 · M-A04 · v0.1 · owner STK-04 · concerns C03;C04;C06;C02 · Bloques lógicos y alternativas; no despliegue UML formal.</w:t>
      </w:r>
    </w:p>
    <w:p>
      <w:pPr>
        <w:pStyle w:val="Normal"/>
      </w:pPr>
      <w:r>
        <w:rPr/>
        <w:t xml:space="preserve">Elementos/relaciones: ABB de handoff, evidencia, medición y excepción; A/B/C comparables; serie térmica existente condicional NV-05. Fuente: IA-07; PC1 DEC-01; borrador A-05 §5. Editable: 03_Architecture_Repository/08_Solutions_Landscape/M-A04_Concepto.svg</w:t>
      </w:r>
    </w:p>
    <w:tbl>
      <w:tblPr>
        <w:jc w:val="center"/>
        <w:tblLook w:firstColumn="1" w:firstRow="1" w:lastColumn="0" w:lastRow="0" w:noHBand="0" w:noVBand="1" w:val="04A0"/>
        <w:tblW w:w="9314" w:type="dxa"/>
        <w:tblLayout w:type="fixed"/>
      </w:tblPr>
      <w:tblGrid>
        <w:gridCol w:w="2701"/>
        <w:gridCol w:w="6613"/>
      </w:tblGrid>
      <w:tr>
        <w:trPr>
          <w:cantSplit/>
          <w:tblHeader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2701" w:type="dxa"/>
          </w:tcPr>
          <w:p>
            <w:pPr>
              <w:pStyle w:val="Normal"/>
            </w:pPr>
            <w:r>
              <w:rPr>
                <w:b/>
              </w:rPr>
              <w:t xml:space="preserve">ABB bloque lógico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6613" w:type="dxa"/>
          </w:tcPr>
          <w:p>
            <w:pPr>
              <w:pStyle w:val="Normal"/>
            </w:pPr>
            <w:r>
              <w:rPr>
                <w:b/>
              </w:rPr>
              <w:t xml:space="preserve">Capacidad y requisito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ABB-01 Acuerdo de transferencia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CAP-A01; REQ-06; emisor/receptor/aceptación/excepción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ABB-02 Estado e historia con evidencia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C4/H1/C3; REQ-01/02/04/05; fuente, identidad, custodia, acceso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ABB-03 Medición del flujo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CAP-A02; REQ-07; KPI y MED con denominadores/fuentes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ABB-04 Gestión de excepciones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CAP-A03/H1; REQ-03/06; cierre y reconciliación controlada</w:t>
            </w:r>
          </w:p>
        </w:tc>
      </w:tr>
    </w:tbl>
    <w:p>
      <w:pPr>
        <w:pStyle w:val="Normal"/>
      </w:pPr>
      <w:r>
        <w:rPr/>
        <w:t xml:space="preserve">A: envío directo/reutilización; B: nodo local asíncrono candidato; C: captura local y consolidación manual. DEC-01 mantiene B exploratoria y reabrible. Los ABB no seleccionan SBB, proveedor o topología; NV-05 no se resuelve con una app.</w:t>
      </w:r>
    </w:p>
    <w:p>
      <w:pPr>
        <w:pStyle w:val="Heading2"/>
        <w:keepNext/>
      </w:pPr>
      <w:r>
        <w:rPr>
          <w:color w:val="000000"/>
        </w:rPr>
        <w:t xml:space="preserve">11 Riesgos y condiciones de revisión</w:t>
      </w:r>
    </w:p>
    <w:p>
      <w:pPr>
        <w:pStyle w:val="Normal"/>
      </w:pPr>
      <w:r>
        <w:rPr/>
        <w:t xml:space="preserve">Riesgos: presentar IA como diagnóstico; fijar solución sin inventario; añadir carga de registro; no disponer de series térmicas; omitir autoridad o superar recursos. Risk_Log conserva owner/acción. NV-01…08 y CP-01…04 mantienen protocolos y evidencias pendientes.</w:t>
      </w:r>
    </w:p>
    <w:p>
      <w:pPr>
        <w:pStyle w:val="Normal"/>
      </w:pPr>
      <w:r>
        <w:rPr/>
        <w:t xml:space="preserve">Para el gate se exige Vision/Statement coherentes, cobertura de concerns, dos cadenas con rutas y límites explícitos. La recomendación del asistente es condicional; la aprobación del equipo y corporativa siguen pendientes.</w:t>
      </w:r>
    </w:p>
    <w:p>
      <w:pPr>
        <w:pStyle w:val="Heading2"/>
        <w:keepNext/>
      </w:pPr>
      <w:r>
        <w:rPr>
          <w:color w:val="000000"/>
        </w:rPr>
        <w:t xml:space="preserve">Referencias y estado de revisión</w:t>
      </w:r>
    </w:p>
    <w:p>
      <w:pPr>
        <w:pStyle w:val="Normal"/>
      </w:pPr>
      <w:r>
        <w:rPr/>
        <w:t xml:space="preserve">Guía S4: 03_Architecture_Repository/05_Reference_Library/SI605_Guia_S4.md; PC1 corregida: 03_Architecture_Repository/05_Reference_Library/Antecedentes/PC1_Corregida.docx y registro 03_Architecture_Repository/05_Reference_Library/Antecedentes/Registro_Correcciones_PC1.md. Fuentes/estatus en 00_Control/Fuentes_y_Evidencias.csv. Catálogos y modelos se localizan en 00_Control/Inventario_artefactos.csv. No se desarrolló Phase B ni se ejecutaron pruebas operativas; revisión/aceptación del equipo pendientes. Paginación DOCX pendiente de inspección visual por bloqueo del render.</w:t>
      </w:r>
    </w:p>
    <w:sectPr w:rsidR="00FC693F" w:rsidRPr="0006063C" w:rsidSect="00034616">
      <w:pgSz w:w="11906" w:h="16838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amposol1" Type="http://schemas.openxmlformats.org/officeDocument/2006/relationships/image" Target="media/camposol_1.png"/><Relationship Id="rIdCamposol2" Type="http://schemas.openxmlformats.org/officeDocument/2006/relationships/image" Target="media/camposol_2.png"/><Relationship Id="rIdCamposol3" Type="http://schemas.openxmlformats.org/officeDocument/2006/relationships/image" Target="media/camposol_3.png"/><Relationship Id="rIdCamposol4" Type="http://schemas.openxmlformats.org/officeDocument/2006/relationships/image" Target="media/camposol_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