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color w:val="000000"/>
        </w:rPr>
        <w:t xml:space="preserve">Escenario de negocio de cámara a despacho</w:t>
      </w:r>
    </w:p>
    <w:p>
      <w:pPr>
        <w:pStyle w:val="Normal"/>
      </w:pPr>
      <w:r>
        <w:rPr/>
        <w:t xml:space="preserve">Camposol S.A. · Planta Packing Chao · Grupo 04 · SI605</w:t>
      </w:r>
    </w:p>
    <w:p>
      <w:pPr>
        <w:pStyle w:val="Normal"/>
      </w:pPr>
      <w:r>
        <w:rPr/>
        <w:t xml:space="preserve">Lectura de códigos: PRE es Preliminary y A Phase A; D/DRV driver; OBJ objetivo; OUT resultado; KPI indicador; MED medida candidata; VS value stream; C4/H1/C3 y CAP-A capacidades; C01…06 concerns; STK stakeholder; ROL función; PR principio; REQ requisito; VP viewpoint; VIEW vista; MODEL/M modelo; DEC decisión; CP correspondencia; F fuente. HP: hecho público con fuente y alcance; IA: escenario asistido por IA; SV: supuesto por validar; DE: propuesta/decisión académica; NV: información faltante. NE significa no evaluado, nunca cero. Las propuestas nuevas de este paquete son DE asistidas por IA-07; no se declara acuerdo del equipo.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701" w:type="dxa"/>
          </w:tcPr>
          <w:p>
            <w:pPr>
              <w:pStyle w:val="Normal"/>
            </w:pPr>
            <w:r>
              <w:rPr>
                <w:b/>
              </w:rPr>
              <w:t xml:space="preserve">Control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6613" w:type="dxa"/>
          </w:tcPr>
          <w:p>
            <w:pPr>
              <w:pStyle w:val="Normal"/>
            </w:pPr>
            <w:r>
              <w:rPr>
                <w:b/>
              </w:rPr>
              <w:t xml:space="preserve">Valor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ID / fase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A-06 · Phase 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Versión / estado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v0.1 · Draft académico; propuesta del asistente DE; sin aprobación del equipo ni corporativa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Owner / fecha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ROL-EA Arquitecto líder propuesto · elaboración 2026-10-15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Propósito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Ver sección 1; Escenario de negocio de cámara a despacho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Inputs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BS-01 del borrador A-02, PC1 REQ y KPI, A-05; borrador A-06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Outputs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Escenario normal/excepciones, datos, requisitos observables y medidas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Base de edición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A-06_Camposol_Business_Scenario_BS-01.docx; copia del original homónimo, diseño conservado; conciliaciones EQ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Antecedente vigente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03_Architecture_Repository/05_Reference_Library/Antecedentes/PC1_Corregida.docx; 03_Architecture_Repository/05_Reference_Library/Antecedentes/Registro_Correcciones_PC1.md</w:t>
            </w:r>
          </w:p>
        </w:tc>
      </w:tr>
    </w:tbl>
    <w:p>
      <w:pPr>
        <w:pStyle w:val="Heading2"/>
        <w:keepNext/>
      </w:pPr>
      <w:r>
        <w:rPr>
          <w:color w:val="000000"/>
        </w:rPr>
        <w:t xml:space="preserve">1 Propósito y naturaleza del escenario</w:t>
      </w:r>
    </w:p>
    <w:p>
      <w:pPr>
        <w:pStyle w:val="Normal"/>
      </w:pPr>
      <w:r>
        <w:rPr/>
        <w:t xml:space="preserve">BS-01 significa Business Scenario. Se desarrolla la transferencia de cámara a despacho del borrador para discutir identidad, evidencia, autoridad y continuidad con KPI/REQ de PC1. Narrativa y excepciones son IA-07 y las reglas propuestas DE; no son incidentes observados ni procedimientos oficiales.</w:t>
      </w:r>
    </w:p>
    <w:p>
      <w:pPr>
        <w:pStyle w:val="Heading2"/>
        <w:keepNext/>
      </w:pPr>
      <w:r>
        <w:rPr>
          <w:color w:val="000000"/>
        </w:rPr>
        <w:t xml:space="preserve">2 Problema y resultado esperado</w:t>
      </w:r>
    </w:p>
    <w:p>
      <w:pPr>
        <w:pStyle w:val="Normal"/>
      </w:pPr>
      <w:r>
        <w:rPr/>
        <w:t xml:space="preserve">Pregunta: ¿cómo aceptar o resolver una transferencia de cámara a despacho con historia y custodia comprobables, sin confundir liberación de Calidad con condición de salida, incluso ante evidencia faltante o interrupción? Resultado: decisión sustentada, transferencia identificable o excepción con responsable y evidencia.</w:t>
      </w:r>
    </w:p>
    <w:p>
      <w:pPr>
        <w:pStyle w:val="Normal"/>
      </w:pPr>
      <w:r>
        <w:rPr/>
        <w:t xml:space="preserve">Disparador: pallet/unidad disponible desde cámara y solicitud de recepción/evidencia. Fin del escenario: aceptación registrada o excepción controlada; entrega final del FCL permanece dentro de VS01, pero este caso no implica salida automática.</w:t>
      </w:r>
    </w:p>
    <w:p>
      <w:pPr>
        <w:pStyle w:val="Heading2"/>
        <w:keepNext/>
      </w:pPr>
      <w:r>
        <w:rPr>
          <w:color w:val="000000"/>
        </w:rPr>
        <w:t xml:space="preserve">3 Entorno y actores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701" w:type="dxa"/>
          </w:tcPr>
          <w:p>
            <w:pPr>
              <w:pStyle w:val="Normal"/>
            </w:pPr>
            <w:r>
              <w:rPr>
                <w:b/>
              </w:rPr>
              <w:t xml:space="preserve">Actor propuesto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6613" w:type="dxa"/>
          </w:tcPr>
          <w:p>
            <w:pPr>
              <w:pStyle w:val="Normal"/>
            </w:pPr>
            <w:r>
              <w:rPr>
                <w:b/>
              </w:rPr>
              <w:t xml:space="preserve">Responsabilidad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Cámara y Frío STK-03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Preparar identificación, ubicación, ruta y evidencia disponible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Despacho STK-06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Solicitar/recibir, revisar condición de entrega y documentación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Calidad STK-02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Revisar historia y autoridad de liberación; no sustituye al receptor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Operaciones/operadores STK-01/05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Coordinar trabajo y registro sin omitir controles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IT/OT STK-04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Evaluar soporte, reconciliación y acceso cuando corresponda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ROL-MC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Definir medición/control independiente; no autoriza liberación</w:t>
            </w:r>
          </w:p>
        </w:tc>
      </w:tr>
    </w:tbl>
    <w:p>
      <w:pPr>
        <w:pStyle w:val="Normal"/>
      </w:pPr>
      <w:r>
        <w:rPr/>
        <w:t xml:space="preserve">Fuente térmica, formatos, herramientas, rangos y reglas reales permanecen NV-01…08. Un actor lógico de aplicación solo se incorpora cuando se identifique; no se atribuyen herramientas concretas.</w:t>
      </w:r>
    </w:p>
    <w:p>
      <w:pPr>
        <w:pStyle w:val="Heading2"/>
        <w:keepNext/>
      </w:pPr>
      <w:r>
        <w:rPr>
          <w:color w:val="000000"/>
        </w:rPr>
        <w:t xml:space="preserve">4 Secuencia normal modelada IA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701" w:type="dxa"/>
          </w:tcPr>
          <w:p>
            <w:pPr>
              <w:pStyle w:val="Normal"/>
            </w:pPr>
            <w:r>
              <w:rPr>
                <w:b/>
              </w:rPr>
              <w:t xml:space="preserve">Paso y actor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6613" w:type="dxa"/>
          </w:tcPr>
          <w:p>
            <w:pPr>
              <w:pStyle w:val="Normal"/>
            </w:pPr>
            <w:r>
              <w:rPr>
                <w:b/>
              </w:rPr>
              <w:t xml:space="preserve">Acción y evidencia esperada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1 Cámara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Identifica pallet/lote y unidad transferida; prepara evidencia de ubicación/ruta y liberación conocida.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2 Despacho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Solicita historia de una unidad; registra t0 cuando la solicitud está completa (KPI-01).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3 Responsable de evidencia y Calidad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Reconstruye genealogía, eventos/procedencia, custodia y faltantes; revisa y entrega historia con t1. No confundir con tiempo de simple traspaso MED-A01.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4 Frío y Calidad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Contrasta series/ubicaciones/custodia del pallet por tramo frío aplicable; si fuente/protocolo no existe, no acredita KPI-02.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5 Despacho con Calidad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Verifica estado de liberación y condición de despacho de forma separada; registra aceptación o discrepancia con autoridad competente.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6 Emisor y receptor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Registran transferencia y recepción, preservando identidad y referencias; salida FCL solo bajo condiciones/documentos aplicables NV-08.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7 Mejora Continua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Compara con control independiente: eventos esperados, completitud, captura y tiempos; MED no sustituye KPI vigente.</w:t>
            </w:r>
          </w:p>
        </w:tc>
      </w:tr>
    </w:tbl>
    <w:p>
      <w:pPr>
        <w:pStyle w:val="Normal"/>
      </w:pPr>
      <w:r>
        <w:rPr/>
        <w:t xml:space="preserve">Los pasos representan comportamiento para elicitación de requisitos, no BPMN AS-IS validado ni Phase B desarrollada. Las marcas temporales son campos propuestos y no prueban captura automática existente.</w:t>
      </w:r>
    </w:p>
    <w:p>
      <w:pPr>
        <w:pStyle w:val="Heading2"/>
        <w:keepNext/>
      </w:pPr>
      <w:r>
        <w:rPr>
          <w:color w:val="000000"/>
        </w:rPr>
        <w:t xml:space="preserve">5 Excepciones modeladas y respuesta DE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701" w:type="dxa"/>
          </w:tcPr>
          <w:p>
            <w:pPr>
              <w:pStyle w:val="Normal"/>
            </w:pPr>
            <w:r>
              <w:rPr>
                <w:b/>
              </w:rPr>
              <w:t xml:space="preserve">Excepción IA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6613" w:type="dxa"/>
          </w:tcPr>
          <w:p>
            <w:pPr>
              <w:pStyle w:val="Normal"/>
            </w:pPr>
            <w:r>
              <w:rPr>
                <w:b/>
              </w:rPr>
              <w:t xml:space="preserve">Tratamiento propuesto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Identidad o información faltante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Preservar originales, registrar conflicto y escalar; no declarar historia completa ni aceptación automática. REQ-01/02/06.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Liberación distinta de condición de despacho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Separar estados y autoridad. Calidad resuelve lo suyo; Despacho confirma lo suyo. Criterio de no avance es propuesta DE sujeta NV-08.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Corte del enlace externo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Conservar eventos con procedimiento/capacidad existente o candidata por verificar; reconciliar sin pérdida/duplicación efectiva/huérfanos. No suponer paro de línea ni que B lo resuelva todo. REQ-03.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Falla de red local o dispositivo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Registrar incidencia distinta; el nodo no garantiza captura sin enlace local. Revisar alternativa/protocolo NV-02/07.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Serie térmica incompleta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Mantener faltantes visibles, no completar con promedio ni aprobar cobertura por existencia de FK. NV-05/07; REQ-04.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Acceso no autorizado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Rechazar conforme a permisos definidos y auditar; no confundir un control candidato con resultado de prueba. REQ-05.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Repetición/corrección o pico de demanda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Distinguir duplicado de evento legítimo; preservar razón/versión; medir esperas/carga sin omitir controles. REQ-06/07.</w:t>
            </w:r>
          </w:p>
        </w:tc>
      </w:tr>
    </w:tbl>
    <w:p>
      <w:pPr>
        <w:pStyle w:val="Heading2"/>
        <w:keepNext/>
      </w:pPr>
      <w:r>
        <w:rPr>
          <w:color w:val="000000"/>
        </w:rPr>
        <w:t xml:space="preserve">6 Información requerida y estados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701" w:type="dxa"/>
          </w:tcPr>
          <w:p>
            <w:pPr>
              <w:pStyle w:val="Normal"/>
            </w:pPr>
            <w:r>
              <w:rPr>
                <w:b/>
              </w:rPr>
              <w:t xml:space="preserve">Grupo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6613" w:type="dxa"/>
          </w:tcPr>
          <w:p>
            <w:pPr>
              <w:pStyle w:val="Normal"/>
            </w:pPr>
            <w:r>
              <w:rPr>
                <w:b/>
              </w:rPr>
              <w:t xml:space="preserve">Campos conceptuales propuestos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Identidad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Bin/batch/pallet/FCL y vínculos de origen; división/agrupación si aplica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Responsabilidad/tiempo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Fuente, actor, marca temporal, emisor/receptor, t0/t1 y revisión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Custodia/ruta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Ubicación e intervalos, serie térmica y procedencia; tramo frío según ruta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Decisión/excepción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Liberación y condición de despacho separadas; faltante/conflicto, owner, acción y cierre</w:t>
            </w:r>
          </w:p>
        </w:tc>
      </w:tr>
    </w:tbl>
    <w:p>
      <w:pPr>
        <w:pStyle w:val="Normal"/>
      </w:pPr>
      <w:r>
        <w:rPr/>
        <w:t xml:space="preserve">Cada campo debe contrastarse con registros existentes para evitar carga duplicada. Retención, permisos, soporte y formatos se definirán tras el diagnóstico; no se presenta esquema de base de datos definitivo.</w:t>
      </w:r>
    </w:p>
    <w:p>
      <w:pPr>
        <w:pStyle w:val="Heading2"/>
        <w:keepNext/>
      </w:pPr>
      <w:r>
        <w:rPr>
          <w:color w:val="000000"/>
        </w:rPr>
        <w:t xml:space="preserve">7 Requisitos derivados o refinados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142"/>
        <w:gridCol w:w="3726"/>
        <w:gridCol w:w="3446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142" w:type="dxa"/>
          </w:tcPr>
          <w:p>
            <w:pPr>
              <w:pStyle w:val="Normal"/>
            </w:pPr>
            <w:r>
              <w:rPr>
                <w:b/>
              </w:rPr>
              <w:t xml:space="preserve">Requisito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726" w:type="dxa"/>
          </w:tcPr>
          <w:p>
            <w:pPr>
              <w:pStyle w:val="Normal"/>
            </w:pPr>
            <w:r>
              <w:rPr>
                <w:b/>
              </w:rPr>
              <w:t xml:space="preserve">Comprobación posterior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446" w:type="dxa"/>
          </w:tcPr>
          <w:p>
            <w:pPr>
              <w:pStyle w:val="Normal"/>
            </w:pPr>
            <w:r>
              <w:rPr>
                <w:b/>
              </w:rPr>
              <w:t xml:space="preserve">Owner y dependencias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REQ-01 Identidad y genealogía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Cada caso acordado conserva bin–batch–pallet–FCL y división/agrupación sin identidad huérfana; contrastar matriz de vínculos y originales.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STK-02; NV-03;NV-07;NV-08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REQ-02 Historia recuperable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Cada solicitud completa acordada entrega historia revisada en ≤30 min con tiempos, procedencia y faltantes visibles; cronometrar contra control independiente.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STK-02; NV-03;NV-07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REQ-03 Continuidad y reconciliación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Durante corte externo controlado comparar eventos previstos, persistidos y reconciliados: sin pérdida, duplicación efectiva ni huérfanos; recuperación medida con protocolo/RTO/RPO NV-07.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STK-04; NV-01;NV-02;NV-04;NV-07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REQ-04 Evidencia térmica y custodia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Calcular KPI-02 por pallet y verificar series/transferencias contra fuente independiente; ≥95 % solo con fuente y protocolo aceptados. Sin NV-05 resuelto no declarar éxito.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STK-03; NV-05;NV-07;NV-08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REQ-05 Acceso autorizado y auditoría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Ejecutar casos permitidos y no permitidos, verificar rechazo y trazas de actor/tiempo/acción; roles, alcance y conservación por acordar.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STK-04; NV-01;NV-07;NV-08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REQ-06 Handoff y estados diferenciados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En BS-01 cada transferencia tiene emisor, receptor, unidad, información, aceptación y excepción; calidad/liberación y condición de despacho son estados distintos; no autorizar salida por equivalencia asumida.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STK-06; NV-08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REQ-07 Evidencia y evaluación de alternativas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Cada KPI/modelo/alternativa conserva fuente, población, unidad, owner y estatus; baseline real NE si falta evidencia; contrastar A/B/C y costos antes de recomendar implementación.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ROL-EA; NV-03;NV-06;NV-07</w:t>
            </w:r>
          </w:p>
        </w:tc>
      </w:tr>
    </w:tbl>
    <w:p>
      <w:pPr>
        <w:pStyle w:val="Normal"/>
      </w:pPr>
      <w:r>
        <w:rPr/>
        <w:t xml:space="preserve">REQ-01…05 conservan identidad PC1; BS-01 refina casos. REQ-06 une handoff/estados de los borradores y REQ-07 evidencia/medición/evaluación. No se crea otro código para una necesidad ya existente.</w:t>
      </w:r>
    </w:p>
    <w:p>
      <w:pPr>
        <w:pStyle w:val="Heading2"/>
        <w:keepNext/>
      </w:pPr>
      <w:r>
        <w:rPr>
          <w:color w:val="000000"/>
        </w:rPr>
        <w:t xml:space="preserve">8 Medidas y validación</w:t>
      </w:r>
    </w:p>
    <w:p>
      <w:pPr>
        <w:pStyle w:val="Normal"/>
      </w:pPr>
      <w:r>
        <w:rPr/>
        <w:t xml:space="preserve">KPI-01 mide solicitud completa→historia revisada, no tiempo de handoff; KPI-02 usa pallets únicos despachados y series/custodia; KPI-03 usa eventos esperados independientes. MED-A01…05 complementan el análisis, sin reemplazarlos.</w:t>
      </w:r>
    </w:p>
    <w:p>
      <w:pPr>
        <w:pStyle w:val="Normal"/>
      </w:pPr>
      <w:r>
        <w:rPr/>
        <w:t xml:space="preserve">Casos de muestra, carga, duración del corte, tolerancias, intervalo térmico y RTO/RPO se acuerdan en NV-07. Si no hay fuente térmica NV-05, no declarar éxito KPI-02. Los tres targets son propuestas y los valores iniciales IA/SV no mediciones.</w:t>
      </w:r>
    </w:p>
    <w:p>
      <w:pPr>
        <w:pStyle w:val="Normal"/>
      </w:pPr>
      <w:r>
        <w:rPr/>
        <w:t xml:space="preserve">Validación funcional pendiente: actores, decisiones, autoridad, variantes y fuentes deben revisarse por responsables cuando exista acceso. Aceptación documental actual solo confirma consistencia de referencias y límites.</w:t>
      </w:r>
    </w:p>
    <w:p>
      <w:pPr>
        <w:pStyle w:val="Heading2"/>
        <w:keepNext/>
      </w:pPr>
      <w:r>
        <w:rPr>
          <w:color w:val="000000"/>
        </w:rPr>
        <w:t xml:space="preserve">9 Trazabilidad y cambios</w:t>
      </w:r>
    </w:p>
    <w:p>
      <w:pPr>
        <w:pStyle w:val="Normal"/>
      </w:pPr>
      <w:r>
        <w:rPr/>
        <w:t xml:space="preserve">TR-01 reconstrucción y TR-02 térmica recorren fuentes→drivers/objetivo/outcome/KPI→capacidad→STK/concern→PR/REQ→VP/view/modelo→DEC y vuelven por Relaciones.csv. DEC-01/RAT-01 mantienen hipótesis y condiciones; la cadena no demuestra la empresa.</w:t>
      </w:r>
    </w:p>
    <w:p>
      <w:pPr>
        <w:pStyle w:val="Normal"/>
      </w:pPr>
      <w:r>
        <w:rPr/>
        <w:t xml:space="preserve">Observaciones futuras se tramitan conforme A-03; actualizar A-02/A-05 y la matriz cuando cambien reglas. A-04 propone el trabajo posterior y gates registran recomendación del asistente, sin aceptación ficticia.</w:t>
      </w:r>
    </w:p>
    <w:p>
      <w:pPr>
        <w:pStyle w:val="Heading2"/>
        <w:keepNext/>
      </w:pPr>
      <w:r>
        <w:rPr>
          <w:color w:val="000000"/>
        </w:rPr>
        <w:t xml:space="preserve">Referencias y estado de revisión</w:t>
      </w:r>
    </w:p>
    <w:p>
      <w:pPr>
        <w:pStyle w:val="Normal"/>
      </w:pPr>
      <w:r>
        <w:rPr/>
        <w:t xml:space="preserve">Guía S4: 03_Architecture_Repository/05_Reference_Library/SI605_Guia_S4.md; PC1 corregida: 03_Architecture_Repository/05_Reference_Library/Antecedentes/PC1_Corregida.docx y registro 03_Architecture_Repository/05_Reference_Library/Antecedentes/Registro_Correcciones_PC1.md. Fuentes/estatus en 00_Control/Fuentes_y_Evidencias.csv. Catálogos y modelos se localizan en 00_Control/Inventario_artefactos.csv. No se desarrolló Phase B ni se ejecutaron pruebas operativas; revisión/aceptación del equipo pendientes. Paginación DOCX pendiente de inspección visual por bloqueo del render.</w:t>
      </w:r>
    </w:p>
    <w:sectPr w:rsidR="00FC693F" w:rsidRPr="0006063C" w:rsidSect="00034616">
      <w:pgSz w:w="11906" w:h="16838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