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keepNext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highlight w:val="none"/>
          <w:shd w:val="clear"/>
        </w:rPr>
        <w:t xml:space="preserve">Contexto metas y drivers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highlight w:val="none"/>
          <w:shd w:val="clear"/>
        </w:rPr>
        <w:t xml:space="preserve">Camposol S.A. · Planta Packing Chao · Grupo 04 · SI605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highlight w:val="none"/>
          <w:shd w:val="clear"/>
        </w:rPr>
        <w:t xml:space="preserve">Lectura de códigos: PRE es Preliminary y A Phase A; D/DRV driver; OBJ objetivo; OUT resultado; KPI indicador; MED medida candidata; VS value stream; C4/H1/C3 y CAP-A capacidades; C01…06 concerns; STK stakeholder; ROL función; PR principio; REQ requisito; VP viewpoint; VIEW vista; MODEL/M modelo; DEC decisión; CP correspondencia; F fuente. HP: hecho público con fuente y alcance; IA: escenario asistido por IA; SV: supuesto por validar; DE: propuesta/decisión académica; NV: información faltante. NE significa no evaluado, nunca cero. Las propuestas nuevas de este paquete son DE asistidas por IA-07; no se declara acuerdo del equipo.</w:t>
      </w:r>
    </w:p>
    <w:tbl>
      <w:tblPr>
        <w:tblInd w:w="52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CellMar>
          <w:top w:w="15" w:type="dxa"/>
          <w:left w:w="15" w:type="dxa"/>
          <w:bottom w:w="15" w:type="dxa"/>
          <w:right w:w="15" w:type="dxa"/>
        </w:tblCellMar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Control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Valor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ID / fase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PRE-03 · Preliminary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Versión / estado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v0.2 · Draft académico; propuesta del asistente DE; sin aprobación del equipo ni corporativa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Owner / fecha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ROL-EA Arquitecto líder propuesto · elaboración 2026-10-15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Propósito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Ver sección 1; Contexto metas y drivers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Inputs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PC1 §§1–5, fuentes F01…08 y Registro IA; Template 3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Outputs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Directiva, drivers, objetivos, outcomes, medidas y restricciones conciliados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Base de edición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Template 3.docx; copia del original homónimo, contenido conservado; formato normalizado al patrón de A-02 en v0.2; conciliaciones EQ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Antecedente vigente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03_Architecture_Repository/05_Reference_Library/Antecedentes/PC1_Corregida.docx; 03_Architecture_Repository/05_Reference_Library/Antecedentes/Registro_Correcciones_PC1.md</w:t>
            </w:r>
          </w:p>
        </w:tc>
      </w:tr>
    </w:tbl>
    <w:p>
      <w:pPr>
        <w:pStyle w:val="Heading2"/>
        <w:keepNext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highlight w:val="none"/>
          <w:shd w:val="clear"/>
        </w:rPr>
        <w:t xml:space="preserve">1 Propósito y alcance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highlight w:val="none"/>
          <w:shd w:val="clear"/>
        </w:rPr>
        <w:t xml:space="preserve">Establecer el contexto estratégico y operativo del análisis, sus drivers, objetivos, resultados e indicadores. La ampliación pública justifica observar cómo se sostiene la coordinación al crecer; no demuestra demoras, duplicidad o pérdidas en Chao.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highlight w:val="none"/>
          <w:shd w:val="clear"/>
        </w:rPr>
        <w:t xml:space="preserve">VS01 — Aseguramiento de fruta exportable: recepción de bins → selección/calibrado → empaque → pre-frío según ruta → cámara → carga, precintado y entrega del FCL refrigerado al transportista en rampa.</w:t>
      </w:r>
    </w:p>
    <w:p>
      <w:pPr>
        <w:pStyle w:val="Heading2"/>
        <w:keepNext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highlight w:val="none"/>
          <w:shd w:val="clear"/>
        </w:rPr>
        <w:t xml:space="preserve">2 Contexto y directiva propuesta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highlight w:val="none"/>
          <w:shd w:val="clear"/>
        </w:rPr>
        <w:t xml:space="preserve">F01 documenta gestión SAP y estándares corporativos; F02 es testimonio histórico de 2016. F03/F04 describen expansión/equipos y capacidad publicada, no throughput observado. F05 acredita declaraciones de certificaciones de Chao; F08 es programación institucional, no auditoría ejecutada. Fuentes y límites se reutilizan de la revisión PC1, sin nueva comprobación web.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highlight w:val="none"/>
          <w:shd w:val="clear"/>
        </w:rPr>
        <w:t xml:space="preserve">Directiva propuesta DE: evaluar si las capacidades de identidad, consulta, custodia térmica y continuidad sostienen decisiones de calidad/despacho en el flujo delimitado y qué cambios se justificarían. Solicitante funcional STK-01, pendiente NV-08.</w:t>
      </w:r>
    </w:p>
    <w:p>
      <w:pPr>
        <w:pStyle w:val="Heading2"/>
        <w:keepNext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highlight w:val="none"/>
          <w:shd w:val="clear"/>
        </w:rPr>
        <w:t xml:space="preserve">3 Drivers objetivos y outcomes</w:t>
      </w:r>
    </w:p>
    <w:tbl>
      <w:tblPr>
        <w:tblInd w:w="52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CellMar>
          <w:top w:w="15" w:type="dxa"/>
          <w:left w:w="15" w:type="dxa"/>
          <w:bottom w:w="15" w:type="dxa"/>
          <w:right w:w="15" w:type="dxa"/>
        </w:tblCellMar>
        <w:tblW w:w="9314" w:type="dxa"/>
        <w:tblLayout w:type="fixed"/>
      </w:tblPr>
      <w:tblGrid>
        <w:gridCol w:w="2142"/>
        <w:gridCol w:w="3725"/>
        <w:gridCol w:w="3446"/>
      </w:tblGrid>
      <w:tr>
        <w:trPr>
          <w:cantSplit/>
          <w:tblHeader/>
        </w:trPr>
        <w:tc>
          <w:tcPr>
            <w:vAlign w:val="center"/>
            <w:tcW w:w="21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ID y tipo</w:t>
            </w:r>
          </w:p>
        </w:tc>
        <w:tc>
          <w:tcPr>
            <w:vAlign w:val="center"/>
            <w:tcW w:w="372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Significado</w:t>
            </w:r>
          </w:p>
        </w:tc>
        <w:tc>
          <w:tcPr>
            <w:vAlign w:val="center"/>
            <w:tcW w:w="3446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Procedencia</w:t>
            </w:r>
          </w:p>
        </w:tc>
      </w:tr>
      <w:tr>
        <w:trPr>
          <w:cantSplit/>
        </w:trPr>
        <w:tc>
          <w:tcPr>
            <w:vAlign w:val="center"/>
            <w:tcW w:w="21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D1 Driver</w:t>
            </w:r>
          </w:p>
        </w:tc>
        <w:tc>
          <w:tcPr>
            <w:vAlign w:val="center"/>
            <w:tcW w:w="372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Riesgo económico/comercial de incidentes de calidad y frío</w:t>
            </w:r>
          </w:p>
        </w:tc>
        <w:tc>
          <w:tcPr>
            <w:vAlign w:val="center"/>
            <w:tcW w:w="3446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DE/IA, riesgo exploratorio, no pérdida observada; IA-01;IA-02;F01;F03;F04;F05</w:t>
            </w:r>
          </w:p>
        </w:tc>
      </w:tr>
      <w:tr>
        <w:trPr>
          <w:cantSplit/>
        </w:trPr>
        <w:tc>
          <w:tcPr>
            <w:vAlign w:val="center"/>
            <w:tcW w:w="21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D2 Driver</w:t>
            </w:r>
          </w:p>
        </w:tc>
        <w:tc>
          <w:tcPr>
            <w:vAlign w:val="center"/>
            <w:tcW w:w="372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Exigencias de trazabilidad y cumplimiento</w:t>
            </w:r>
          </w:p>
        </w:tc>
        <w:tc>
          <w:tcPr>
            <w:vAlign w:val="center"/>
            <w:tcW w:w="3446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DE con contexto HP; aplicabilidad local NV-08; F01;F05;F08</w:t>
            </w:r>
          </w:p>
        </w:tc>
      </w:tr>
      <w:tr>
        <w:trPr>
          <w:cantSplit/>
        </w:trPr>
        <w:tc>
          <w:tcPr>
            <w:vAlign w:val="center"/>
            <w:tcW w:w="21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D3 Driver</w:t>
            </w:r>
          </w:p>
        </w:tc>
        <w:tc>
          <w:tcPr>
            <w:vAlign w:val="center"/>
            <w:tcW w:w="372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Posible fragmentación de evidencia operativa</w:t>
            </w:r>
          </w:p>
        </w:tc>
        <w:tc>
          <w:tcPr>
            <w:vAlign w:val="center"/>
            <w:tcW w:w="3446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SV; SAP corporativo no demuestra insuficiencia local; SV-01;IA-01;F01;F02</w:t>
            </w:r>
          </w:p>
        </w:tc>
      </w:tr>
      <w:tr>
        <w:trPr>
          <w:cantSplit/>
        </w:trPr>
        <w:tc>
          <w:tcPr>
            <w:vAlign w:val="center"/>
            <w:tcW w:w="21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DRV-A01 Driver</w:t>
            </w:r>
          </w:p>
        </w:tc>
        <w:tc>
          <w:tcPr>
            <w:vAlign w:val="center"/>
            <w:tcW w:w="372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Presión de coordinación al crecer escala</w:t>
            </w:r>
          </w:p>
        </w:tc>
        <w:tc>
          <w:tcPr>
            <w:vAlign w:val="center"/>
            <w:tcW w:w="3446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SV; conserva tema DRV-03 de borradores; F03;SV-02</w:t>
            </w:r>
          </w:p>
        </w:tc>
      </w:tr>
      <w:tr>
        <w:trPr>
          <w:cantSplit/>
        </w:trPr>
        <w:tc>
          <w:tcPr>
            <w:vAlign w:val="center"/>
            <w:tcW w:w="21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OBJ01 Objetivo</w:t>
            </w:r>
          </w:p>
        </w:tc>
        <w:tc>
          <w:tcPr>
            <w:vAlign w:val="center"/>
            <w:tcW w:w="372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Integridad de calidad/evidencia y reconstrucción oportuna</w:t>
            </w:r>
          </w:p>
        </w:tc>
        <w:tc>
          <w:tcPr>
            <w:vAlign w:val="center"/>
            <w:tcW w:w="3446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DE vigente PC1; D1;D2;D3</w:t>
            </w:r>
          </w:p>
        </w:tc>
      </w:tr>
      <w:tr>
        <w:trPr>
          <w:cantSplit/>
        </w:trPr>
        <w:tc>
          <w:tcPr>
            <w:vAlign w:val="center"/>
            <w:tcW w:w="21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OUT01 Outcome</w:t>
            </w:r>
          </w:p>
        </w:tc>
        <w:tc>
          <w:tcPr>
            <w:vAlign w:val="center"/>
            <w:tcW w:w="372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Historia/evidencia íntegra y recuperable para decisiones dentro del alcance</w:t>
            </w:r>
          </w:p>
        </w:tc>
        <w:tc>
          <w:tcPr>
            <w:vAlign w:val="center"/>
            <w:tcW w:w="3446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DE vigente PC1; operacionalización KPI-01/02; OBJ01</w:t>
            </w:r>
          </w:p>
        </w:tc>
      </w:tr>
      <w:tr>
        <w:trPr>
          <w:cantSplit/>
        </w:trPr>
        <w:tc>
          <w:tcPr>
            <w:vAlign w:val="center"/>
            <w:tcW w:w="21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OBJ-A01 Objetivo</w:t>
            </w:r>
          </w:p>
        </w:tc>
        <w:tc>
          <w:tcPr>
            <w:vAlign w:val="center"/>
            <w:tcW w:w="372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Consistencia de handoffs y estados</w:t>
            </w:r>
          </w:p>
        </w:tc>
        <w:tc>
          <w:tcPr>
            <w:vAlign w:val="center"/>
            <w:tcW w:w="3446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DE complemento de borradores; D2;DRV-A01</w:t>
            </w:r>
          </w:p>
        </w:tc>
      </w:tr>
      <w:tr>
        <w:trPr>
          <w:cantSplit/>
        </w:trPr>
        <w:tc>
          <w:tcPr>
            <w:vAlign w:val="center"/>
            <w:tcW w:w="21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OUT-A01 Outcome</w:t>
            </w:r>
          </w:p>
        </w:tc>
        <w:tc>
          <w:tcPr>
            <w:vAlign w:val="center"/>
            <w:tcW w:w="372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Handoffs claros e información oportuna con aceptación y excepción</w:t>
            </w:r>
          </w:p>
        </w:tc>
        <w:tc>
          <w:tcPr>
            <w:vAlign w:val="center"/>
            <w:tcW w:w="3446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DE propuesto, no resultado observado; OBJ-A01</w:t>
            </w:r>
          </w:p>
        </w:tc>
      </w:tr>
      <w:tr>
        <w:trPr>
          <w:cantSplit/>
        </w:trPr>
        <w:tc>
          <w:tcPr>
            <w:vAlign w:val="center"/>
            <w:tcW w:w="21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OBJ-A02 Objetivo</w:t>
            </w:r>
          </w:p>
        </w:tc>
        <w:tc>
          <w:tcPr>
            <w:vAlign w:val="center"/>
            <w:tcW w:w="372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Coordinación interáreas ante picos</w:t>
            </w:r>
          </w:p>
        </w:tc>
        <w:tc>
          <w:tcPr>
            <w:vAlign w:val="center"/>
            <w:tcW w:w="3446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DE complemento de borradores; DRV-A01</w:t>
            </w:r>
          </w:p>
        </w:tc>
      </w:tr>
      <w:tr>
        <w:trPr>
          <w:cantSplit/>
        </w:trPr>
        <w:tc>
          <w:tcPr>
            <w:vAlign w:val="center"/>
            <w:tcW w:w="21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OUT-A02 Outcome</w:t>
            </w:r>
          </w:p>
        </w:tc>
        <w:tc>
          <w:tcPr>
            <w:vAlign w:val="center"/>
            <w:tcW w:w="372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Excepciones gestionadas y carga de coordinación evaluable</w:t>
            </w:r>
          </w:p>
        </w:tc>
        <w:tc>
          <w:tcPr>
            <w:vAlign w:val="center"/>
            <w:tcW w:w="3446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DE propuesto, efecto por comprobar; OBJ-A02</w:t>
            </w:r>
          </w:p>
        </w:tc>
      </w:tr>
    </w:tbl>
    <w:p>
      <w:pPr>
        <w:pStyle w:val="Heading2"/>
        <w:keepNext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highlight w:val="none"/>
          <w:shd w:val="clear"/>
        </w:rPr>
        <w:t xml:space="preserve">4 KPI vigentes y baseline</w:t>
      </w:r>
    </w:p>
    <w:tbl>
      <w:tblPr>
        <w:tblInd w:w="52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CellMar>
          <w:top w:w="15" w:type="dxa"/>
          <w:left w:w="15" w:type="dxa"/>
          <w:bottom w:w="15" w:type="dxa"/>
          <w:right w:w="15" w:type="dxa"/>
        </w:tblCellMar>
        <w:tblW w:w="9314" w:type="dxa"/>
        <w:tblLayout w:type="fixed"/>
      </w:tblPr>
      <w:tblGrid>
        <w:gridCol w:w="2142"/>
        <w:gridCol w:w="3725"/>
        <w:gridCol w:w="3446"/>
      </w:tblGrid>
      <w:tr>
        <w:trPr>
          <w:cantSplit/>
          <w:tblHeader/>
        </w:trPr>
        <w:tc>
          <w:tcPr>
            <w:vAlign w:val="center"/>
            <w:tcW w:w="21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KPI y unidad</w:t>
            </w:r>
          </w:p>
        </w:tc>
        <w:tc>
          <w:tcPr>
            <w:vAlign w:val="center"/>
            <w:tcW w:w="372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Baseline y target del escenario</w:t>
            </w:r>
          </w:p>
        </w:tc>
        <w:tc>
          <w:tcPr>
            <w:vAlign w:val="center"/>
            <w:tcW w:w="3446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Regla de medición y condición</w:t>
            </w:r>
          </w:p>
        </w:tc>
      </w:tr>
      <w:tr>
        <w:trPr>
          <w:cantSplit/>
        </w:trPr>
        <w:tc>
          <w:tcPr>
            <w:vAlign w:val="center"/>
            <w:tcW w:w="21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KPI-01 Reconstrucción de historia</w:t>
            </w:r>
          </w:p>
        </w:tc>
        <w:tc>
          <w:tcPr>
            <w:vAlign w:val="center"/>
            <w:tcW w:w="372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120 min [IA-01] → ≤30 min [DE; origen IA-04/06]</w:t>
              <w:br/>
              <w:t>Cierre deseado semana 16 de eventual piloto</w:t>
            </w:r>
          </w:p>
        </w:tc>
        <w:tc>
          <w:tcPr>
            <w:vAlign w:val="center"/>
            <w:tcW w:w="3446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Minutos t1−t0 por solicitud completa de lote operativo: t0 solicitud completa; t1 historia entregada y revisada por Calidad; incluye trabajo manual. Cada caso acordado debe cumplir; caso incompleto falla.</w:t>
              <w:br/>
              <w:t>Owner propuesto STK-02; NV-03;NV-07</w:t>
            </w:r>
          </w:p>
        </w:tc>
      </w:tr>
      <w:tr>
        <w:trPr>
          <w:cantSplit/>
        </w:trPr>
        <w:tc>
          <w:tcPr>
            <w:vAlign w:val="center"/>
            <w:tcW w:w="21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KPI-02 Cobertura térmica y custodia</w:t>
            </w:r>
          </w:p>
        </w:tc>
        <w:tc>
          <w:tcPr>
            <w:vAlign w:val="center"/>
            <w:tcW w:w="372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65 % por pallet [IA-01/06; no derivado de lecturas en papel] → ≥95 % [DE, condicional a NV-05/07]</w:t>
              <w:br/>
              <w:t>Cierre deseado semana 16 de eventual piloto</w:t>
            </w:r>
          </w:p>
        </w:tc>
        <w:tc>
          <w:tcPr>
            <w:vAlign w:val="center"/>
            <w:tcW w:w="3446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100 × pallets despachados con serie térmica válida e identidad/custodia trazables desde tramo frío aplicable al handoff / total de pallets despachados únicos del periodo. Faltantes no son éxitos; población desconocida = NE.</w:t>
              <w:br/>
              <w:t>Owner propuesto STK-03; NV-05;NV-07;NV-08</w:t>
            </w:r>
          </w:p>
        </w:tc>
      </w:tr>
      <w:tr>
        <w:trPr>
          <w:cantSplit/>
        </w:trPr>
        <w:tc>
          <w:tcPr>
            <w:vAlign w:val="center"/>
            <w:tcW w:w="21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KPI-03 Captura digital al primer intento</w:t>
            </w:r>
          </w:p>
        </w:tc>
        <w:tc>
          <w:tcPr>
            <w:vAlign w:val="center"/>
            <w:tcW w:w="372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0 % [SV de PC1; no medición real] → ≥90 % [DE]</w:t>
              <w:br/>
              <w:t>Checkpoint semana 8 de eventual piloto</w:t>
            </w:r>
          </w:p>
        </w:tc>
        <w:tc>
          <w:tcPr>
            <w:vAlign w:val="center"/>
            <w:tcW w:w="3446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100 × eventos esperados únicos capturados digitalmente al primer intento / eventos esperados únicos del control independiente. Conciliar duplicados; no usar solo eventos existentes como denominador.</w:t>
              <w:br/>
              <w:t>Owner propuesto STK-05; NV-03;NV-07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highlight w:val="none"/>
          <w:shd w:val="clear"/>
        </w:rPr>
        <w:t xml:space="preserve">Baseline real NE. Las cifras120/65 conservan IA y 0% captura es SV, no ausencia observada. Las metas son propuestas que pueden revisarse; no se borran porque aún no exista medición. TTCT es agrupación histórica, no índice aritmético de minutos y porcentajes.</w:t>
      </w:r>
    </w:p>
    <w:p>
      <w:pPr>
        <w:pStyle w:val="Heading2"/>
        <w:keepNext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highlight w:val="none"/>
          <w:shd w:val="clear"/>
        </w:rPr>
        <w:t xml:space="preserve">5 Medidas complementarias de los borradores</w:t>
      </w:r>
    </w:p>
    <w:tbl>
      <w:tblPr>
        <w:tblInd w:w="52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CellMar>
          <w:top w:w="15" w:type="dxa"/>
          <w:left w:w="15" w:type="dxa"/>
          <w:bottom w:w="15" w:type="dxa"/>
          <w:right w:w="15" w:type="dxa"/>
        </w:tblCellMar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ID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Medida candidata sin baseline ni meta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MED-A01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Tiempo de traspaso: Minutos desde generación de información hasta disponibilidad completa en receptor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MED-A02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Completitud de handoffs: 100 × transferencias aceptadas sin corrección / transferencias observadas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MED-A03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Carga administrativa: Minutos de registro/revisión/búsqueda / una unidad definida y constante por estudio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MED-A04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Duplicidad injustificada: 100 × registros repetidos sin justificación / registros examinados; correcciones legítimas separadas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MED-A05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Espera entre etapas: Minutos inicio siguiente etapa − disponibilidad; causa física/documental separadas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highlight w:val="none"/>
          <w:shd w:val="clear"/>
        </w:rPr>
        <w:t xml:space="preserve">MED-A01…05 no sustituyen KPI-01…03. Su muestra, unidad, responsables funcionales y frecuencia se acordarán con ROL-MC y el receptor/emisor; una unidad no puede alternar lote/pallet/FCL en el mismo denominador.</w:t>
      </w:r>
    </w:p>
    <w:p>
      <w:pPr>
        <w:pStyle w:val="Heading2"/>
        <w:keepNext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highlight w:val="none"/>
          <w:shd w:val="clear"/>
        </w:rPr>
        <w:t xml:space="preserve">6 Restricciones e iniciativas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highlight w:val="none"/>
          <w:shd w:val="clear"/>
        </w:rPr>
        <w:t xml:space="preserve">I1 conserva el frente nodo candidato 185k; I3 captura 55k e I5 adopción 25k son partidas independientes: total US$265.000 [IA-03], US$15.000 sobre techo académico US$250.000 [DE]. No hay encaje financiero ni inversión aprobada. I2 telemetría e I4 dashboard continúan postergadas, sin aprobación automática.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highlight w:val="none"/>
          <w:shd w:val="clear"/>
        </w:rPr>
        <w:t xml:space="preserve">Duraciones IA: nodo14, captura6 y adopción6 semanas. Nodo + captura secuenciales serían 20, superiores al horizonte deseado 16; no se inventa solape. NV-06 concilia recursos/costos/secuencia. La arquitectura tiene su propio calendario y no promete ese piloto.</w:t>
      </w:r>
    </w:p>
    <w:p>
      <w:pPr>
        <w:pStyle w:val="Heading2"/>
        <w:keepNext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highlight w:val="none"/>
          <w:shd w:val="clear"/>
        </w:rPr>
        <w:t xml:space="preserve">7 Beneficio y cálculo del escenario</w:t>
      </w:r>
    </w:p>
    <w:tbl>
      <w:tblPr>
        <w:tblInd w:w="52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CellMar>
          <w:top w:w="15" w:type="dxa"/>
          <w:left w:w="15" w:type="dxa"/>
          <w:bottom w:w="15" w:type="dxa"/>
          <w:right w:w="15" w:type="dxa"/>
        </w:tblCellMar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Operación IA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Resultado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45.000 TM/año ÷16 TM por unidad financiera equivalente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2.812,5 unidades/año; no lote operativo ni pallet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2.812,5 ×0,06 ×US$16.500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US$2.784.375 exposición anual hipotética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6%→3,3%, reducción relativa45%; 2.812,5 ×0,027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75,9375 unidades esperadas evitadas/año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75,9375 ×US$16.500</w:t>
            </w:r>
          </w:p>
        </w:tc>
        <w:tc>
          <w:tcPr>
            <w:vAlign w:val="center"/>
            <w:tcW w:w="661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US$1.252.968,75 → US$1.252.969/año, ahorro bruto potencial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highlight w:val="none"/>
          <w:shd w:val="clear"/>
        </w:rPr>
        <w:t xml:space="preserve">Sin redondeos intermedios; no beneficio neto, ROI, garantía de certificación ni atribución causal demostrada a I1. Parámetros y costos reales siguen NV-03/NV-06.</w:t>
      </w:r>
    </w:p>
    <w:p>
      <w:pPr>
        <w:pStyle w:val="Heading2"/>
        <w:keepNext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highlight w:val="none"/>
          <w:shd w:val="clear"/>
        </w:rPr>
        <w:t xml:space="preserve">8 Trazabilidad y pendientes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highlight w:val="none"/>
          <w:shd w:val="clear"/>
        </w:rPr>
        <w:t xml:space="preserve">TR-01 enlaza reconstrucción y TR-02 evidencia térmica; la matriz y Relaciones.csv conservan las rutas y permiten la vuelta. Las fuentes HP son contexto; el origen numérico del escenario sigue IA. NV-01…08 se mantienen en Validaciones_Pendientes.csv.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highlight w:val="none"/>
          <w:shd w:val="clear"/>
        </w:rPr>
        <w:t xml:space="preserve">Referencias y estado de revisión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/>
        <w:t>Guía S4: 03_Architecture_Repository/05_Reference_Library/SI605_Guia_S4.md; PC1 corregida: 03_Architecture_Repository/05_Reference_Library/Antecedentes/PC1_Corregida.docx y registro 03_Architecture_Repository/05_Reference_Library/Antecedentes/Registro_Correcciones_PC1.md. Fuentes/estatus en 00_Control/Fuentes_y_Evidencias.csv. Catálogos y modelos se localizan en 00_Control/Inventario_artefactos.csv. Phase B se incorpora como borrador condicionado en 05_Phase_B; no se ejecutaron pruebas operativas; revisión/aceptación del equipo pendientes. Paginación DOCX pendiente de inspección visual por bloqueo del render.</w:t>
      </w:r>
    </w:p>
    <w:sectPr>
      <w:pgSz w:w="11906" w:h="16838"/>
      <w:pgMar w:top="1224" w:right="1296" w:bottom="1224" w:left="1296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0BC23F"/>
    <w:multiLevelType w:val="singleLevel"/>
    <w:tmpl w:val="5B0BC23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DB6EA1"/>
    <w:rsid w:val="14DB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styleId="5">
    <w:name w:val="Normal (Web)"/>
    <w:basedOn w:val="Normal"/>
    <w:uiPriority w:val="0"/>
    <w:rPr>
      <w:sz w:val="24"/>
      <w:szCs w:val="24"/>
    </w:rPr>
  </w:style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2026-10-09T19:17:00Z</dcterms:created>
  <dc:creator>quint</dc:creator>
  <cp:lastModifiedBy>quint</cp:lastModifiedBy>
  <dcterms:modified xsi:type="dcterms:W3CDTF">2026-10-09T19:27:49Z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2058-12.1.0.28485</vt:lpwstr>
  </property>
  <property fmtid="{D5CDD505-2E9C-101B-9397-08002B2CF9AE}" pid="3" name="ICV">
    <vt:lpwstr>946B3935BA2C4183AF815536E4B1A4FB_11</vt:lpwstr>
  </property>
  <property fmtid="{D5CDD505-2E9C-101B-9397-08002B2CF9AE}" pid="4" name="KSOTemplateDocerSaveRecord">
    <vt:lpwstr>eyJoZGlkIjoiNTQxZDc3Y2ExYWQyOTUwOGZhYzM4MTU1Nzk0YWZkMDAiLCJ1c2VySWQiOiIyNDkxNjI5MzMyNzEyIn0=</vt:lpwstr>
  </property>
</Properties>
</file>