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Задание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100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</w:pPr>
      <w:r>
        <w:rPr>
          <w:rFonts w:ascii="Helvetica" w:hAnsi="Helvetica" w:hint="default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Создайте хранимую процедуру</w:t>
      </w:r>
      <w:r>
        <w:rPr>
          <w:rFonts w:ascii="Helvetica" w:hAnsi="Helvetica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которая будет возвращать сводную таблицу </w:t>
      </w:r>
      <w:r>
        <w:rPr>
          <w:rFonts w:ascii="Helvetica" w:hAnsi="Helvetica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(</w:t>
      </w:r>
      <w:r>
        <w:rPr>
          <w:rFonts w:ascii="Helvetica" w:hAnsi="Helvetica" w:hint="default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оператор </w:t>
      </w:r>
      <w:r>
        <w:rPr>
          <w:rFonts w:ascii="Helvetica" w:hAnsi="Helvetica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PIVOT), </w:t>
      </w:r>
      <w:r>
        <w:rPr>
          <w:rFonts w:ascii="Helvetica" w:hAnsi="Helvetica" w:hint="default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отображающую данные о максимальном весе </w:t>
      </w:r>
      <w:r>
        <w:rPr>
          <w:rFonts w:ascii="Helvetica" w:hAnsi="Helvetica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(Production.Product.Weight) </w:t>
      </w:r>
      <w:r>
        <w:rPr>
          <w:rFonts w:ascii="Helvetica" w:hAnsi="Helvetica" w:hint="default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продукта в каждой подкатегории </w:t>
      </w:r>
      <w:r>
        <w:rPr>
          <w:rFonts w:ascii="Helvetica" w:hAnsi="Helvetica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(Production.ProductSubcategory) </w:t>
      </w:r>
      <w:r>
        <w:rPr>
          <w:rFonts w:ascii="Helvetica" w:hAnsi="Helvetica" w:hint="default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для определенного цвета</w:t>
      </w:r>
      <w:r>
        <w:rPr>
          <w:rFonts w:ascii="Helvetica" w:hAnsi="Helvetica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Список цветов передайте в процедуру через входной параметр</w:t>
      </w:r>
      <w:r>
        <w:rPr>
          <w:rFonts w:ascii="Helvetica" w:hAnsi="Helvetica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.</w:t>
      </w:r>
    </w:p>
    <w:p>
      <w:pPr>
        <w:pStyle w:val="Defaul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100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</w:pPr>
      <w:r>
        <w:rPr>
          <w:rFonts w:ascii="Helvetica" w:hAnsi="Helvetica" w:hint="default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Результат вызова процедуры выглядит так</w:t>
      </w:r>
      <w:r>
        <w:rPr>
          <w:rFonts w:ascii="Helvetica" w:hAnsi="Helvetica"/>
          <w:outline w:val="0"/>
          <w:color w:val="444444"/>
          <w:sz w:val="21"/>
          <w:szCs w:val="21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:</w:t>
      </w:r>
    </w:p>
    <w:p>
      <w:pPr>
        <w:pStyle w:val="Defaul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100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1"/>
          <w:szCs w:val="21"/>
          <w:u w:color="444444"/>
          <w:rtl w:val="0"/>
          <w:lang w:val="en-US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444444"/>
          <w:sz w:val="21"/>
          <w:szCs w:val="21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 xml:space="preserve">EXECUTE dbo.SubCategoriesByColor </w:t>
      </w:r>
      <w:r>
        <w:rPr>
          <w:rFonts w:ascii="Helvetica" w:hAnsi="Helvetica" w:hint="default"/>
          <w:outline w:val="0"/>
          <w:color w:val="444444"/>
          <w:sz w:val="21"/>
          <w:szCs w:val="21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‘</w:t>
      </w:r>
      <w:r>
        <w:rPr>
          <w:rFonts w:ascii="Helvetica" w:hAnsi="Helvetica"/>
          <w:outline w:val="0"/>
          <w:color w:val="444444"/>
          <w:sz w:val="21"/>
          <w:szCs w:val="21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t>[Red],[Grey],[Blue],[Silver]'</w:t>
      </w:r>
    </w:p>
    <w:p>
      <w:pPr>
        <w:pStyle w:val="Defaul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100"/>
        <w:ind w:left="0" w:right="0" w:firstLine="0"/>
        <w:jc w:val="left"/>
        <w:rPr>
          <w:rFonts w:ascii="Helvetica" w:cs="Helvetica" w:hAnsi="Helvetica" w:eastAsia="Helvetica"/>
          <w:outline w:val="0"/>
          <w:color w:val="444444"/>
          <w:sz w:val="21"/>
          <w:szCs w:val="21"/>
          <w:u w:color="444444"/>
          <w:rtl w:val="0"/>
          <w:lang w:val="en-US"/>
          <w14:textFill>
            <w14:solidFill>
              <w14:srgbClr w14:val="444444"/>
            </w14:solidFill>
          </w14:textFill>
        </w:rPr>
      </w:pPr>
    </w:p>
    <w:p>
      <w:pPr>
        <w:pStyle w:val="Defaul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10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444444"/>
          <w:sz w:val="21"/>
          <w:szCs w:val="21"/>
          <w:u w:color="444444"/>
          <w:rtl w:val="0"/>
          <w:lang w:val="en-US"/>
          <w14:textFill>
            <w14:solidFill>
              <w14:srgbClr w14:val="444444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2040672</wp:posOffset>
            </wp:positionH>
            <wp:positionV relativeFrom="line">
              <wp:posOffset>154854</wp:posOffset>
            </wp:positionV>
            <wp:extent cx="2564905" cy="612005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n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905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