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pdxBlacklist</w:t>
      </w:r>
    </w:p>
    <w:p>
      <w:pPr>
        <w:pStyle w:val="Author"/>
      </w:pPr>
      <w:r>
        <w:t xml:space="preserve">Max</w:t>
      </w:r>
      <w:r>
        <w:t xml:space="preserve"> </w:t>
      </w:r>
      <w:r>
        <w:t xml:space="preserve">Salm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1.0:</w:t>
      </w:r>
      <w:r>
        <w:t xml:space="preserve"> </w:t>
      </w:r>
      <w:r>
        <w:t xml:space="preserve">10</w:t>
      </w:r>
      <w:r>
        <w:t xml:space="preserve"> </w:t>
      </w:r>
      <w:r>
        <w:t xml:space="preserve">March,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dxblacklist"/>
      <w:bookmarkEnd w:id="21"/>
      <w:r>
        <w:t xml:space="preserve">pdxBlacklist</w:t>
      </w:r>
    </w:p>
    <w:p>
      <w:pPr>
        <w:pStyle w:val="FirstParagraph"/>
      </w:pPr>
      <w:r>
        <w:t xml:space="preserve">Patient-derived xenograft models are extremely valuable to immunology and oncology</w:t>
      </w:r>
      <w:r>
        <w:rPr>
          <w:vertAlign w:val="superscript"/>
        </w:rPr>
        <w:t xml:space="preserve">1</w:t>
      </w:r>
      <w:r>
        <w:t xml:space="preserve">. However, cross-contamination between host and graft tissue is inevitable</w:t>
      </w:r>
      <w:r>
        <w:rPr>
          <w:vertAlign w:val="superscript"/>
        </w:rPr>
        <w:t xml:space="preserve">2</w:t>
      </w:r>
      <w:r>
        <w:t xml:space="preserve">. Accordingly, sequencing data generated from these samples likely represent a mixture of mouse and human sequences.</w:t>
      </w:r>
    </w:p>
    <w:p>
      <w:pPr>
        <w:pStyle w:val="BodyText"/>
      </w:pPr>
      <w:r>
        <w:rPr>
          <w:i/>
        </w:rPr>
        <w:t xml:space="preserve">pdxBlacklist</w:t>
      </w:r>
      <w:r>
        <w:t xml:space="preserve"> </w:t>
      </w:r>
      <w:r>
        <w:t xml:space="preserve">catalogues genomic variation artefacts that arise by aligning mouse-derived short-read sequencing data to the human genome. To achieve this, mouse strain-specific short-reads generated by the</w:t>
      </w:r>
      <w:r>
        <w:t xml:space="preserve"> </w:t>
      </w:r>
      <w:hyperlink r:id="rId22">
        <w:r>
          <w:rPr>
            <w:rStyle w:val="Hyperlink"/>
          </w:rPr>
          <w:t xml:space="preserve">Mouse Genome Project</w:t>
        </w:r>
      </w:hyperlink>
      <w:r>
        <w:rPr>
          <w:vertAlign w:val="superscript"/>
        </w:rPr>
        <w:t xml:space="preserve">3</w:t>
      </w:r>
      <w:r>
        <w:t xml:space="preserve"> </w:t>
      </w:r>
      <w:r>
        <w:t xml:space="preserve">are aligned to the human genome, before identifying likely artefacts (e.g. SNVs and indels). The resulting variation catalogue enables annotation of existing variation datasets using tools such as</w:t>
      </w:r>
      <w:r>
        <w:t xml:space="preserve"> </w:t>
      </w:r>
      <w:r>
        <w:rPr>
          <w:i/>
        </w:rPr>
        <w:t xml:space="preserve">Vcfanno</w:t>
      </w:r>
      <w:r>
        <w:rPr>
          <w:vertAlign w:val="superscript"/>
        </w:rPr>
        <w:t xml:space="preserve">4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pdxBlacklist</w:t>
      </w:r>
      <w:r>
        <w:t xml:space="preserve"> </w:t>
      </w:r>
      <w:r>
        <w:t xml:space="preserve">pipeline is based on the bcbio-nextgen</w:t>
      </w:r>
      <w:r>
        <w:t xml:space="preserve"> </w:t>
      </w:r>
      <w:hyperlink r:id="rId23">
        <w:r>
          <w:rPr>
            <w:rStyle w:val="Hyperlink"/>
          </w:rPr>
          <w:t xml:space="preserve">pipeline</w:t>
        </w:r>
      </w:hyperlink>
      <w:r>
        <w:t xml:space="preserve">, which affords great analytical flexibility in the choice of genome builds, aligners and variant callers. Currently, the defaults are set to:</w:t>
      </w:r>
    </w:p>
    <w:p>
      <w:pPr>
        <w:pStyle w:val="Compact"/>
        <w:numPr>
          <w:numId w:val="1001"/>
          <w:ilvl w:val="0"/>
        </w:numPr>
      </w:pPr>
      <w:r>
        <w:t xml:space="preserve">Genome:</w:t>
      </w:r>
      <w:r>
        <w:t xml:space="preserve"> </w:t>
      </w:r>
      <w:r>
        <w:rPr>
          <w:rStyle w:val="VerbatimChar"/>
        </w:rPr>
        <w:t xml:space="preserve">hg19</w:t>
      </w:r>
    </w:p>
    <w:p>
      <w:pPr>
        <w:pStyle w:val="Compact"/>
        <w:numPr>
          <w:numId w:val="1001"/>
          <w:ilvl w:val="0"/>
        </w:numPr>
      </w:pPr>
      <w:r>
        <w:t xml:space="preserve">Aligner:</w:t>
      </w:r>
      <w:r>
        <w:t xml:space="preserve"> </w:t>
      </w:r>
      <w:r>
        <w:rPr>
          <w:rStyle w:val="VerbatimChar"/>
        </w:rPr>
        <w:t xml:space="preserve">BWA</w:t>
      </w:r>
    </w:p>
    <w:p>
      <w:pPr>
        <w:pStyle w:val="Compact"/>
        <w:numPr>
          <w:numId w:val="1001"/>
          <w:ilvl w:val="0"/>
        </w:numPr>
      </w:pPr>
      <w:r>
        <w:t xml:space="preserve">Caller:</w:t>
      </w:r>
      <w:r>
        <w:t xml:space="preserve"> </w:t>
      </w:r>
      <w:r>
        <w:rPr>
          <w:rStyle w:val="VerbatimChar"/>
        </w:rPr>
        <w:t xml:space="preserve">VarDict</w:t>
      </w:r>
      <w:r>
        <w:rPr>
          <w:vertAlign w:val="superscript"/>
        </w:rPr>
        <w:t xml:space="preserve">5</w:t>
      </w:r>
    </w:p>
    <w:p>
      <w:pPr>
        <w:pStyle w:val="FirstParagraph"/>
      </w:pPr>
      <w:r>
        <w:t xml:space="preserve">To run the</w:t>
      </w:r>
      <w:r>
        <w:t xml:space="preserve"> </w:t>
      </w:r>
      <w:r>
        <w:rPr>
          <w:i/>
        </w:rPr>
        <w:t xml:space="preserve">pdxBlacklist</w:t>
      </w:r>
      <w:r>
        <w:t xml:space="preserve"> </w:t>
      </w:r>
      <w:r>
        <w:t xml:space="preserve">pipeline, exectute the following:</w:t>
      </w:r>
    </w:p>
    <w:p>
      <w:pPr>
        <w:pStyle w:val="SourceCode"/>
      </w:pPr>
      <w:r>
        <w:rPr>
          <w:rStyle w:val="VerbatimChar"/>
        </w:rPr>
        <w:t xml:space="preserve">python pdxBlacklist.py --strain NOD_ShiLtJ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--strain</w:t>
      </w:r>
      <w:r>
        <w:t xml:space="preserve"> </w:t>
      </w:r>
      <w:r>
        <w:t xml:space="preserve">specifies the mouse strain of interest.</w:t>
      </w:r>
    </w:p>
    <w:p>
      <w:pPr>
        <w:pStyle w:val="Heading2"/>
      </w:pPr>
      <w:bookmarkStart w:id="24" w:name="features"/>
      <w:bookmarkEnd w:id="24"/>
      <w:r>
        <w:t xml:space="preserve">Features</w:t>
      </w:r>
    </w:p>
    <w:p>
      <w:pPr>
        <w:pStyle w:val="Compact"/>
        <w:numPr>
          <w:numId w:val="1002"/>
          <w:ilvl w:val="0"/>
        </w:numPr>
      </w:pPr>
      <w:r>
        <w:t xml:space="preserve">A choice of mouse strains (currently 40)</w:t>
      </w:r>
    </w:p>
    <w:p>
      <w:pPr>
        <w:pStyle w:val="Compact"/>
        <w:numPr>
          <w:numId w:val="1002"/>
          <w:ilvl w:val="0"/>
        </w:numPr>
      </w:pPr>
      <w:r>
        <w:t xml:space="preserve">Diverse variant analysis pipelines</w:t>
      </w:r>
    </w:p>
    <w:p>
      <w:pPr>
        <w:pStyle w:val="Heading2"/>
      </w:pPr>
      <w:bookmarkStart w:id="25" w:name="installation"/>
      <w:bookmarkEnd w:id="25"/>
      <w:r>
        <w:t xml:space="preserve">Installation</w:t>
      </w:r>
    </w:p>
    <w:p>
      <w:pPr>
        <w:pStyle w:val="FirstParagraph"/>
      </w:pPr>
      <w:r>
        <w:t xml:space="preserve">The scripts in this project have been developed and tested on an 8-core server with 30GB RAM running Ubuntu 14.04.5 LTS (GNU/Linux 3.19.0-74-generic x86_64).</w:t>
      </w:r>
    </w:p>
    <w:p>
      <w:pPr>
        <w:pStyle w:val="BodyText"/>
      </w:pPr>
      <w:r>
        <w:t xml:space="preserve">To install the</w:t>
      </w:r>
      <w:r>
        <w:t xml:space="preserve"> </w:t>
      </w:r>
      <w:r>
        <w:rPr>
          <w:i/>
        </w:rPr>
        <w:t xml:space="preserve">pdxBlacklist</w:t>
      </w:r>
      <w:r>
        <w:t xml:space="preserve"> </w:t>
      </w:r>
      <w:r>
        <w:t xml:space="preserve">pipeline, please run the following:</w:t>
      </w:r>
    </w:p>
    <w:p>
      <w:pPr>
        <w:pStyle w:val="SourceCode"/>
      </w:pPr>
      <w:r>
        <w:rPr>
          <w:rStyle w:val="VerbatimChar"/>
        </w:rPr>
        <w:t xml:space="preserve">scripts/0_setup_bcbio.sh</w:t>
      </w:r>
    </w:p>
    <w:p>
      <w:pPr>
        <w:pStyle w:val="Heading2"/>
      </w:pPr>
      <w:bookmarkStart w:id="26" w:name="contribute"/>
      <w:bookmarkEnd w:id="26"/>
      <w:r>
        <w:t xml:space="preserve">Contribute</w:t>
      </w:r>
    </w:p>
    <w:p>
      <w:pPr>
        <w:pStyle w:val="Compact"/>
        <w:numPr>
          <w:numId w:val="1003"/>
          <w:ilvl w:val="0"/>
        </w:numPr>
      </w:pPr>
      <w:r>
        <w:t xml:space="preserve">Issue Tracker:</w:t>
      </w:r>
      <w:r>
        <w:t xml:space="preserve"> </w:t>
      </w:r>
      <w:hyperlink r:id="rId27">
        <w:r>
          <w:rPr>
            <w:rStyle w:val="Hyperlink"/>
          </w:rPr>
          <w:t xml:space="preserve">https://github.com/MaxSalm/pdxBlacklist/issues</w:t>
        </w:r>
      </w:hyperlink>
    </w:p>
    <w:p>
      <w:pPr>
        <w:pStyle w:val="Compact"/>
        <w:numPr>
          <w:numId w:val="1003"/>
          <w:ilvl w:val="0"/>
        </w:numPr>
      </w:pPr>
      <w:r>
        <w:t xml:space="preserve">Source Code:</w:t>
      </w:r>
      <w:r>
        <w:t xml:space="preserve"> </w:t>
      </w:r>
      <w:hyperlink r:id="rId28">
        <w:r>
          <w:rPr>
            <w:rStyle w:val="Hyperlink"/>
          </w:rPr>
          <w:t xml:space="preserve">https://github.com/MaxSalm/pdxBlacklist</w:t>
        </w:r>
      </w:hyperlink>
    </w:p>
    <w:p>
      <w:pPr>
        <w:pStyle w:val="Heading2"/>
      </w:pPr>
      <w:bookmarkStart w:id="29" w:name="support"/>
      <w:bookmarkEnd w:id="29"/>
      <w:r>
        <w:t xml:space="preserve">Support</w:t>
      </w:r>
    </w:p>
    <w:p>
      <w:pPr>
        <w:pStyle w:val="FirstParagraph"/>
      </w:pPr>
      <w:r>
        <w:t xml:space="preserve">If you are having issues, please let us know.</w:t>
      </w:r>
    </w:p>
    <w:p>
      <w:pPr>
        <w:pStyle w:val="Heading2"/>
      </w:pPr>
      <w:bookmarkStart w:id="30" w:name="license"/>
      <w:bookmarkEnd w:id="30"/>
      <w:r>
        <w:t xml:space="preserve">License</w:t>
      </w:r>
    </w:p>
    <w:p>
      <w:pPr>
        <w:pStyle w:val="FirstParagraph"/>
      </w:pPr>
      <w:r>
        <w:t xml:space="preserve">The project is licensed under the GPL license.</w:t>
      </w:r>
    </w:p>
    <w:p>
      <w:pPr>
        <w:pStyle w:val="Heading2"/>
      </w:pPr>
      <w:bookmarkStart w:id="31" w:name="citation"/>
      <w:bookmarkEnd w:id="31"/>
      <w:r>
        <w:t xml:space="preserve">Citation</w:t>
      </w:r>
    </w:p>
    <w:p>
      <w:pPr>
        <w:pStyle w:val="FirstParagraph"/>
      </w:pPr>
      <w:r>
        <w:t xml:space="preserve">Paper in press</w:t>
      </w:r>
    </w:p>
    <w:p>
      <w:pPr>
        <w:pStyle w:val="Heading2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1. Townsend, E. C.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public repository of xenografts enables discovery and randomized phase iI-like trials in mice.</w:t>
      </w:r>
      <w:r>
        <w:t xml:space="preserve"> </w:t>
      </w:r>
      <w:r>
        <w:rPr>
          <w:i/>
        </w:rPr>
        <w:t xml:space="preserve">Cancer cell</w:t>
      </w:r>
      <w:r>
        <w:t xml:space="preserve"> </w:t>
      </w:r>
      <w:r>
        <w:rPr>
          <w:b/>
        </w:rPr>
        <w:t xml:space="preserve">29,</w:t>
      </w:r>
      <w:r>
        <w:t xml:space="preserve"> </w:t>
      </w:r>
      <w:r>
        <w:t xml:space="preserve">574–586 (2016).</w:t>
      </w:r>
    </w:p>
    <w:p>
      <w:pPr>
        <w:pStyle w:val="Bibliography"/>
      </w:pPr>
      <w:r>
        <w:t xml:space="preserve">2. Conway, T.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Xenome–a tool for classifying reads from xenograft samples.</w:t>
      </w:r>
      <w:r>
        <w:t xml:space="preserve"> </w:t>
      </w:r>
      <w:r>
        <w:rPr>
          <w:i/>
        </w:rPr>
        <w:t xml:space="preserve">Bioinformatics (Oxford, England)</w:t>
      </w:r>
      <w:r>
        <w:t xml:space="preserve"> </w:t>
      </w:r>
      <w:r>
        <w:rPr>
          <w:b/>
        </w:rPr>
        <w:t xml:space="preserve">28,</w:t>
      </w:r>
      <w:r>
        <w:t xml:space="preserve"> </w:t>
      </w:r>
      <w:r>
        <w:t xml:space="preserve">i172–i178 (2012).</w:t>
      </w:r>
    </w:p>
    <w:p>
      <w:pPr>
        <w:pStyle w:val="Bibliography"/>
      </w:pPr>
      <w:r>
        <w:t xml:space="preserve">3. Keane, T. M.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Mouse genomic variation and its effect on phenotypes and gene regulation.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rPr>
          <w:b/>
        </w:rPr>
        <w:t xml:space="preserve">477,</w:t>
      </w:r>
      <w:r>
        <w:t xml:space="preserve"> </w:t>
      </w:r>
      <w:r>
        <w:t xml:space="preserve">289–294 (2011).</w:t>
      </w:r>
    </w:p>
    <w:p>
      <w:pPr>
        <w:pStyle w:val="Bibliography"/>
      </w:pPr>
      <w:r>
        <w:t xml:space="preserve">4. Pedersen, B. S., Layer, R. M. &amp; Quinlan, A. R. Vcfanno: Fast, flexible annotation of genetic variants.</w:t>
      </w:r>
      <w:r>
        <w:t xml:space="preserve"> </w:t>
      </w:r>
      <w:r>
        <w:rPr>
          <w:i/>
        </w:rPr>
        <w:t xml:space="preserve">Genome biology</w:t>
      </w:r>
      <w:r>
        <w:t xml:space="preserve"> </w:t>
      </w:r>
      <w:r>
        <w:rPr>
          <w:b/>
        </w:rPr>
        <w:t xml:space="preserve">17,</w:t>
      </w:r>
      <w:r>
        <w:t xml:space="preserve"> </w:t>
      </w:r>
      <w:r>
        <w:t xml:space="preserve">118 (2016).</w:t>
      </w:r>
    </w:p>
    <w:p>
      <w:pPr>
        <w:pStyle w:val="Bibliography"/>
      </w:pPr>
      <w:r>
        <w:t xml:space="preserve">5. Lai, Z.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VarDict: A novel and versatile variant caller for next-generation sequencing in cancer research.</w:t>
      </w:r>
      <w:r>
        <w:t xml:space="preserve"> </w:t>
      </w:r>
      <w:r>
        <w:rPr>
          <w:i/>
        </w:rPr>
        <w:t xml:space="preserve">Nucleic acids research</w:t>
      </w:r>
      <w:r>
        <w:t xml:space="preserve"> </w:t>
      </w:r>
      <w:r>
        <w:rPr>
          <w:b/>
        </w:rPr>
        <w:t xml:space="preserve">44,</w:t>
      </w:r>
      <w:r>
        <w:t xml:space="preserve"> </w:t>
      </w:r>
      <w:r>
        <w:t xml:space="preserve">e108 (2016).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2c72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bc42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cbio-nextgen.readthedocs.io/en/latest/" TargetMode="External" /><Relationship Type="http://schemas.openxmlformats.org/officeDocument/2006/relationships/hyperlink" Id="rId22" Target="http://www.sanger.ac.uk/science/data/mouse-genomes-project" TargetMode="External" /><Relationship Type="http://schemas.openxmlformats.org/officeDocument/2006/relationships/hyperlink" Id="rId28" Target="https://github.com/MaxSalm/pdxBlacklist" TargetMode="External" /><Relationship Type="http://schemas.openxmlformats.org/officeDocument/2006/relationships/hyperlink" Id="rId27" Target="https://github.com/MaxSalm/pdxBlacklist/issu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cbio-nextgen.readthedocs.io/en/latest/" TargetMode="External" /><Relationship Type="http://schemas.openxmlformats.org/officeDocument/2006/relationships/hyperlink" Id="rId22" Target="http://www.sanger.ac.uk/science/data/mouse-genomes-project" TargetMode="External" /><Relationship Type="http://schemas.openxmlformats.org/officeDocument/2006/relationships/hyperlink" Id="rId28" Target="https://github.com/MaxSalm/pdxBlacklist" TargetMode="External" /><Relationship Type="http://schemas.openxmlformats.org/officeDocument/2006/relationships/hyperlink" Id="rId27" Target="https://github.com/MaxSalm/pdxBlacklist/issu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pdxBlacklist</dc:title>
  <dc:creator>Max Salm</dc:creator>
</cp:coreProperties>
</file>