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Mode d’emploi </w:t>
      </w:r>
    </w:p>
    <w:p w:rsidR="00000000" w:rsidDel="00000000" w:rsidP="00000000" w:rsidRDefault="00000000" w:rsidRPr="00000000" w14:paraId="00000003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Allumer votre ordinateur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Brancher le HTC Vice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Lancer l’application “BasSiamEspeces” présente sur le Bureau (Double clique sur l’icône)</w:t>
      </w:r>
    </w:p>
    <w:p w:rsidR="00000000" w:rsidDel="00000000" w:rsidP="00000000" w:rsidRDefault="00000000" w:rsidRPr="00000000" w14:paraId="00000009">
      <w:pPr>
        <w:ind w:left="720" w:firstLine="0"/>
        <w:jc w:val="center"/>
        <w:rPr/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815812" cy="7429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33955" l="40230" r="31467" t="21201"/>
                    <a:stretch>
                      <a:fillRect/>
                    </a:stretch>
                  </pic:blipFill>
                  <pic:spPr>
                    <a:xfrm>
                      <a:off x="0" y="0"/>
                      <a:ext cx="815812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Attendre que tout se lance → Steam VR devrait se lancer ce qui entraînera  l’apparition de nouvelles fenêtres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Vérification du matériel 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Branchement des manettes et capteurs infrarouges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Allumage correct de ceux-ci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471738" cy="1476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4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Normalement tout est fonctionnel une fois toutes ces étapes effectuées, vous pouvez commencer l’expérience en mettant le casque.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Problème pouvant survenir</w:t>
      </w:r>
      <w:r w:rsidDel="00000000" w:rsidR="00000000" w:rsidRPr="00000000">
        <w:rPr>
          <w:rtl w:val="0"/>
        </w:rPr>
        <w:t xml:space="preserve"> : Lorsque l’on met le casque, il se peut que l’utilisateur du casque soit “dans le sol” (lors de la simulation)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  <w:r w:rsidDel="00000000" w:rsidR="00000000" w:rsidRPr="00000000">
        <w:rPr>
          <w:u w:val="single"/>
          <w:rtl w:val="0"/>
        </w:rPr>
        <w:t xml:space="preserve">Solution </w:t>
      </w:r>
      <w:r w:rsidDel="00000000" w:rsidR="00000000" w:rsidRPr="00000000">
        <w:rPr>
          <w:rtl w:val="0"/>
        </w:rPr>
        <w:t xml:space="preserve">: Fermer l’application et la relancer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u w:val="single"/>
          <w:rtl w:val="0"/>
        </w:rPr>
        <w:t xml:space="preserve">Information annexe</w:t>
      </w:r>
      <w:r w:rsidDel="00000000" w:rsidR="00000000" w:rsidRPr="00000000">
        <w:rPr>
          <w:rtl w:val="0"/>
        </w:rPr>
        <w:t xml:space="preserve"> : Dans le cas où la fenêtre est en </w:t>
      </w:r>
      <w:r w:rsidDel="00000000" w:rsidR="00000000" w:rsidRPr="00000000">
        <w:rPr>
          <w:u w:val="single"/>
          <w:rtl w:val="0"/>
        </w:rPr>
        <w:t xml:space="preserve">mode “grand écran”</w:t>
      </w:r>
      <w:r w:rsidDel="00000000" w:rsidR="00000000" w:rsidRPr="00000000">
        <w:rPr>
          <w:rtl w:val="0"/>
        </w:rPr>
        <w:t xml:space="preserve">, il suffit d’appuyer sur la </w:t>
      </w:r>
      <w:r w:rsidDel="00000000" w:rsidR="00000000" w:rsidRPr="00000000">
        <w:rPr>
          <w:u w:val="single"/>
          <w:rtl w:val="0"/>
        </w:rPr>
        <w:t xml:space="preserve">touche Windows</w:t>
      </w:r>
      <w:r w:rsidDel="00000000" w:rsidR="00000000" w:rsidRPr="00000000">
        <w:rPr>
          <w:rtl w:val="0"/>
        </w:rPr>
        <w:t xml:space="preserve"> pour en sortir.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737628" cy="433567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628" cy="433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 xml:space="preserve">h8hatiti@enib.fr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both"/>
      <w:rPr>
        <w:sz w:val="36"/>
        <w:szCs w:val="36"/>
      </w:rPr>
    </w:pPr>
    <w:r w:rsidDel="00000000" w:rsidR="00000000" w:rsidRPr="00000000">
      <w:rPr>
        <w:rtl w:val="0"/>
      </w:rPr>
      <w:t xml:space="preserve">                                  </w:t>
    </w:r>
    <w:r w:rsidDel="00000000" w:rsidR="00000000" w:rsidRPr="00000000">
      <w:rPr>
        <w:sz w:val="36"/>
        <w:szCs w:val="36"/>
        <w:rtl w:val="0"/>
      </w:rPr>
      <w:t xml:space="preserve">Projet SensiLum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-552449</wp:posOffset>
          </wp:positionH>
          <wp:positionV relativeFrom="paragraph">
            <wp:posOffset>-342899</wp:posOffset>
          </wp:positionV>
          <wp:extent cx="1023938" cy="447973"/>
          <wp:effectExtent b="0" l="0" r="0" t="0"/>
          <wp:wrapSquare wrapText="bothSides" distB="114300" distT="114300" distL="114300" distR="11430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3938" cy="44797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5134583</wp:posOffset>
          </wp:positionH>
          <wp:positionV relativeFrom="paragraph">
            <wp:posOffset>-342899</wp:posOffset>
          </wp:positionV>
          <wp:extent cx="1256692" cy="557213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6692" cy="5572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