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Юнилевер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5275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 2 .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 12 .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21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ЗАО МАКС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ул. Пушкина, д. Калатушкина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9621943641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ART-513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214.61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964.64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ART-613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753.03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414.93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ART-400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кг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677.82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554.47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ART-872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кг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230.74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722.47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2711.65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2024-05-31T03:08:34Z</dcterms:modified>
  <dc:creator/>
  <dc:description/>
  <dc:identifier/>
  <dc:language/>
  <dc:subject/>
</cp:coreProperties>
</file>