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25C7C" w14:textId="19F875C2" w:rsidR="008F4873" w:rsidRPr="008F4873" w:rsidRDefault="00C663B8" w:rsidP="000222CC">
      <w:pPr>
        <w:pStyle w:val="Title"/>
        <w:spacing w:line="360" w:lineRule="auto"/>
        <w:rPr>
          <w:rFonts w:ascii="Times New Roman" w:eastAsia="Times New Roman" w:hAnsi="Times New Roman" w:cs="Times New Roman"/>
          <w:sz w:val="28"/>
          <w:szCs w:val="28"/>
          <w:lang w:val="de-DE" w:eastAsia="de-DE"/>
        </w:rPr>
      </w:pPr>
      <w:r w:rsidRPr="008F4873">
        <w:rPr>
          <w:rFonts w:ascii="Times New Roman" w:eastAsia="Times New Roman" w:hAnsi="Times New Roman" w:cs="Times New Roman"/>
          <w:sz w:val="28"/>
          <w:szCs w:val="28"/>
          <w:lang w:val="de-DE" w:eastAsia="de-DE"/>
        </w:rPr>
        <w:t>Data Science and Management</w:t>
      </w:r>
    </w:p>
    <w:p w14:paraId="517D07A2" w14:textId="6E4A6E1D" w:rsidR="00746E2E" w:rsidRPr="008F4873" w:rsidRDefault="00196B9B" w:rsidP="000222CC">
      <w:pPr>
        <w:pStyle w:val="Title"/>
        <w:spacing w:line="360" w:lineRule="auto"/>
        <w:rPr>
          <w:rFonts w:ascii="Times New Roman" w:hAnsi="Times New Roman" w:cs="Times New Roman"/>
          <w:sz w:val="28"/>
          <w:szCs w:val="28"/>
        </w:rPr>
      </w:pPr>
      <w:r w:rsidRPr="008F4873">
        <w:rPr>
          <w:rFonts w:ascii="Times New Roman" w:hAnsi="Times New Roman" w:cs="Times New Roman"/>
          <w:sz w:val="28"/>
          <w:szCs w:val="28"/>
        </w:rPr>
        <w:t>SKD02 Kolloquium &amp; Abschlussarbeit</w:t>
      </w:r>
    </w:p>
    <w:p w14:paraId="4E3E2034" w14:textId="5FDD07DC" w:rsidR="008F4873" w:rsidRPr="008F4873" w:rsidRDefault="008F4873" w:rsidP="000222CC">
      <w:pPr>
        <w:pStyle w:val="Title"/>
        <w:spacing w:line="360" w:lineRule="auto"/>
        <w:rPr>
          <w:rFonts w:ascii="Times New Roman" w:eastAsia="Times New Roman" w:hAnsi="Times New Roman" w:cs="Times New Roman"/>
          <w:sz w:val="28"/>
          <w:szCs w:val="28"/>
          <w:lang w:val="de-DE" w:eastAsia="de-DE"/>
        </w:rPr>
      </w:pPr>
      <w:r w:rsidRPr="008F4873">
        <w:rPr>
          <w:rFonts w:ascii="Times New Roman" w:hAnsi="Times New Roman" w:cs="Times New Roman"/>
          <w:sz w:val="28"/>
          <w:szCs w:val="28"/>
        </w:rPr>
        <w:t>Prof. Dr. Daniel Ambach</w:t>
      </w:r>
    </w:p>
    <w:p w14:paraId="449AC0BF" w14:textId="77777777" w:rsidR="00746E2E" w:rsidRPr="008F4873" w:rsidRDefault="00746E2E" w:rsidP="000222CC">
      <w:pPr>
        <w:pStyle w:val="Title"/>
        <w:spacing w:line="360" w:lineRule="auto"/>
        <w:rPr>
          <w:rFonts w:ascii="Times New Roman" w:hAnsi="Times New Roman" w:cs="Times New Roman"/>
          <w:sz w:val="28"/>
          <w:szCs w:val="28"/>
        </w:rPr>
      </w:pPr>
    </w:p>
    <w:p w14:paraId="7FE132A1" w14:textId="77777777" w:rsidR="00746E2E" w:rsidRPr="008F4873" w:rsidRDefault="00746E2E" w:rsidP="000222CC">
      <w:pPr>
        <w:pStyle w:val="Title"/>
        <w:spacing w:line="360" w:lineRule="auto"/>
        <w:rPr>
          <w:rFonts w:ascii="Times New Roman" w:hAnsi="Times New Roman" w:cs="Times New Roman"/>
          <w:sz w:val="28"/>
          <w:szCs w:val="28"/>
        </w:rPr>
      </w:pPr>
    </w:p>
    <w:p w14:paraId="7D60431F" w14:textId="77777777" w:rsidR="00746E2E" w:rsidRPr="008F4873" w:rsidRDefault="00746E2E" w:rsidP="000222CC">
      <w:pPr>
        <w:pStyle w:val="Title"/>
        <w:spacing w:line="360" w:lineRule="auto"/>
        <w:rPr>
          <w:rFonts w:ascii="Times New Roman" w:hAnsi="Times New Roman" w:cs="Times New Roman"/>
        </w:rPr>
      </w:pPr>
    </w:p>
    <w:p w14:paraId="6EC0084D" w14:textId="77777777" w:rsidR="00746E2E" w:rsidRPr="008F4873" w:rsidRDefault="00746E2E" w:rsidP="000222CC">
      <w:pPr>
        <w:pStyle w:val="Title"/>
        <w:spacing w:line="360" w:lineRule="auto"/>
        <w:rPr>
          <w:rFonts w:ascii="Times New Roman" w:hAnsi="Times New Roman" w:cs="Times New Roman"/>
        </w:rPr>
      </w:pPr>
    </w:p>
    <w:p w14:paraId="48624CF3" w14:textId="77777777" w:rsidR="00217B5E" w:rsidRPr="005C7052" w:rsidRDefault="00217B5E" w:rsidP="00217B5E">
      <w:pPr>
        <w:spacing w:line="360" w:lineRule="auto"/>
        <w:jc w:val="center"/>
        <w:rPr>
          <w:rFonts w:ascii="Times New Roman" w:eastAsiaTheme="minorEastAsia" w:hAnsi="Times New Roman" w:cs="Times New Roman"/>
          <w:b/>
          <w:sz w:val="32"/>
          <w:szCs w:val="32"/>
          <w:lang w:val="de-DE" w:eastAsia="de-DE"/>
        </w:rPr>
      </w:pPr>
      <w:r w:rsidRPr="005C7052">
        <w:rPr>
          <w:rFonts w:ascii="Times New Roman" w:eastAsiaTheme="minorEastAsia" w:hAnsi="Times New Roman" w:cs="Times New Roman"/>
          <w:b/>
          <w:sz w:val="32"/>
          <w:szCs w:val="32"/>
          <w:lang w:val="de-DE" w:eastAsia="de-DE"/>
        </w:rPr>
        <w:t xml:space="preserve">Bedingte Energieeffizienz von </w:t>
      </w:r>
      <w:proofErr w:type="spellStart"/>
      <w:r w:rsidRPr="005C7052">
        <w:rPr>
          <w:rFonts w:ascii="Times New Roman" w:eastAsiaTheme="minorEastAsia" w:hAnsi="Times New Roman" w:cs="Times New Roman"/>
          <w:b/>
          <w:sz w:val="32"/>
          <w:szCs w:val="32"/>
          <w:lang w:val="de-DE" w:eastAsia="de-DE"/>
        </w:rPr>
        <w:t>Spiking</w:t>
      </w:r>
      <w:proofErr w:type="spellEnd"/>
      <w:r w:rsidRPr="005C7052">
        <w:rPr>
          <w:rFonts w:ascii="Times New Roman" w:eastAsiaTheme="minorEastAsia" w:hAnsi="Times New Roman" w:cs="Times New Roman"/>
          <w:b/>
          <w:sz w:val="32"/>
          <w:szCs w:val="32"/>
          <w:lang w:val="de-DE" w:eastAsia="de-DE"/>
        </w:rPr>
        <w:t xml:space="preserve"> </w:t>
      </w:r>
      <w:proofErr w:type="spellStart"/>
      <w:r w:rsidRPr="005C7052">
        <w:rPr>
          <w:rFonts w:ascii="Times New Roman" w:eastAsiaTheme="minorEastAsia" w:hAnsi="Times New Roman" w:cs="Times New Roman"/>
          <w:b/>
          <w:sz w:val="32"/>
          <w:szCs w:val="32"/>
          <w:lang w:val="de-DE" w:eastAsia="de-DE"/>
        </w:rPr>
        <w:t>Neural</w:t>
      </w:r>
      <w:proofErr w:type="spellEnd"/>
      <w:r w:rsidRPr="005C7052">
        <w:rPr>
          <w:rFonts w:ascii="Times New Roman" w:eastAsiaTheme="minorEastAsia" w:hAnsi="Times New Roman" w:cs="Times New Roman"/>
          <w:b/>
          <w:sz w:val="32"/>
          <w:szCs w:val="32"/>
          <w:lang w:val="de-DE" w:eastAsia="de-DE"/>
        </w:rPr>
        <w:t xml:space="preserve"> Networks: Eine Kipppunkt-Analyse gegenüber quantisierten Transformer-Modellen auf SST-2</w:t>
      </w:r>
    </w:p>
    <w:p w14:paraId="30B46979" w14:textId="7B744A33" w:rsidR="00746E2E" w:rsidRPr="008F4873" w:rsidRDefault="00217B5E" w:rsidP="000222CC">
      <w:pPr>
        <w:spacing w:line="360" w:lineRule="auto"/>
        <w:jc w:val="center"/>
        <w:rPr>
          <w:rFonts w:ascii="Times New Roman" w:hAnsi="Times New Roman" w:cs="Times New Roman"/>
          <w:sz w:val="28"/>
          <w:szCs w:val="28"/>
        </w:rPr>
      </w:pPr>
      <w:proofErr w:type="gramStart"/>
      <w:r w:rsidRPr="00217B5E">
        <w:rPr>
          <w:rFonts w:ascii="Times New Roman" w:eastAsiaTheme="minorEastAsia" w:hAnsi="Times New Roman" w:cs="Times New Roman"/>
          <w:iCs/>
          <w:sz w:val="28"/>
          <w:szCs w:val="28"/>
          <w:lang w:val="de-DE" w:eastAsia="de-DE"/>
        </w:rPr>
        <w:t>Exposé</w:t>
      </w:r>
      <w:proofErr w:type="gramEnd"/>
      <w:r w:rsidRPr="00217B5E">
        <w:rPr>
          <w:rFonts w:ascii="Times New Roman" w:eastAsiaTheme="minorEastAsia" w:hAnsi="Times New Roman" w:cs="Times New Roman"/>
          <w:iCs/>
          <w:sz w:val="28"/>
          <w:szCs w:val="28"/>
          <w:lang w:val="de-DE" w:eastAsia="de-DE"/>
        </w:rPr>
        <w:t xml:space="preserve"> zur Bachelorarbeit</w:t>
      </w:r>
    </w:p>
    <w:p w14:paraId="143F2080" w14:textId="77777777" w:rsidR="00746E2E" w:rsidRPr="008F4873" w:rsidRDefault="00746E2E" w:rsidP="000222CC">
      <w:pPr>
        <w:spacing w:line="360" w:lineRule="auto"/>
        <w:jc w:val="center"/>
        <w:rPr>
          <w:rFonts w:ascii="Times New Roman" w:hAnsi="Times New Roman" w:cs="Times New Roman"/>
          <w:sz w:val="28"/>
          <w:szCs w:val="28"/>
        </w:rPr>
      </w:pPr>
    </w:p>
    <w:p w14:paraId="54CE844C" w14:textId="77777777" w:rsidR="00746E2E" w:rsidRPr="008F4873" w:rsidRDefault="00746E2E" w:rsidP="000222CC">
      <w:pPr>
        <w:spacing w:line="360" w:lineRule="auto"/>
        <w:jc w:val="center"/>
        <w:rPr>
          <w:rFonts w:ascii="Times New Roman" w:hAnsi="Times New Roman" w:cs="Times New Roman"/>
          <w:sz w:val="28"/>
          <w:szCs w:val="28"/>
        </w:rPr>
      </w:pPr>
    </w:p>
    <w:p w14:paraId="11B6417C" w14:textId="77777777" w:rsidR="00746E2E" w:rsidRPr="008F4873" w:rsidRDefault="00746E2E" w:rsidP="000222CC">
      <w:pPr>
        <w:spacing w:line="360" w:lineRule="auto"/>
        <w:jc w:val="center"/>
        <w:rPr>
          <w:rFonts w:ascii="Times New Roman" w:hAnsi="Times New Roman" w:cs="Times New Roman"/>
          <w:sz w:val="28"/>
          <w:szCs w:val="28"/>
        </w:rPr>
      </w:pPr>
    </w:p>
    <w:p w14:paraId="17FAFEC7" w14:textId="77777777" w:rsidR="00746E2E" w:rsidRPr="008F4873" w:rsidRDefault="00746E2E" w:rsidP="000222CC">
      <w:pPr>
        <w:spacing w:line="360" w:lineRule="auto"/>
        <w:jc w:val="center"/>
        <w:rPr>
          <w:rFonts w:ascii="Times New Roman" w:hAnsi="Times New Roman" w:cs="Times New Roman"/>
          <w:sz w:val="28"/>
          <w:szCs w:val="28"/>
        </w:rPr>
      </w:pPr>
    </w:p>
    <w:p w14:paraId="130CCBC6" w14:textId="77777777" w:rsidR="00746E2E" w:rsidRPr="008F4873" w:rsidRDefault="00746E2E" w:rsidP="000222CC">
      <w:pPr>
        <w:spacing w:line="360" w:lineRule="auto"/>
        <w:jc w:val="center"/>
        <w:rPr>
          <w:rFonts w:ascii="Times New Roman" w:hAnsi="Times New Roman" w:cs="Times New Roman"/>
          <w:sz w:val="28"/>
          <w:szCs w:val="28"/>
        </w:rPr>
      </w:pPr>
    </w:p>
    <w:p w14:paraId="6CF2163C" w14:textId="77777777" w:rsidR="00746E2E" w:rsidRPr="008F4873" w:rsidRDefault="00746E2E" w:rsidP="000222CC">
      <w:pPr>
        <w:spacing w:line="360" w:lineRule="auto"/>
        <w:jc w:val="center"/>
        <w:rPr>
          <w:rFonts w:ascii="Times New Roman" w:hAnsi="Times New Roman" w:cs="Times New Roman"/>
          <w:sz w:val="28"/>
          <w:szCs w:val="28"/>
        </w:rPr>
      </w:pPr>
    </w:p>
    <w:p w14:paraId="1E4BFB8D" w14:textId="77777777" w:rsidR="00746E2E" w:rsidRPr="008F4873" w:rsidRDefault="00746E2E" w:rsidP="000222CC">
      <w:pPr>
        <w:spacing w:line="360" w:lineRule="auto"/>
        <w:jc w:val="center"/>
        <w:rPr>
          <w:rFonts w:ascii="Times New Roman" w:hAnsi="Times New Roman" w:cs="Times New Roman"/>
          <w:sz w:val="28"/>
          <w:szCs w:val="28"/>
        </w:rPr>
      </w:pPr>
    </w:p>
    <w:p w14:paraId="63FE1E85" w14:textId="77777777" w:rsidR="00746E2E" w:rsidRPr="008F4873" w:rsidRDefault="00746E2E" w:rsidP="000222CC">
      <w:pPr>
        <w:spacing w:line="360" w:lineRule="auto"/>
        <w:jc w:val="center"/>
        <w:rPr>
          <w:rFonts w:ascii="Times New Roman" w:hAnsi="Times New Roman" w:cs="Times New Roman"/>
          <w:sz w:val="28"/>
          <w:szCs w:val="28"/>
        </w:rPr>
      </w:pPr>
    </w:p>
    <w:p w14:paraId="5905B046" w14:textId="77777777" w:rsidR="00746E2E" w:rsidRPr="008F4873" w:rsidRDefault="00746E2E" w:rsidP="000222CC">
      <w:pPr>
        <w:spacing w:line="360" w:lineRule="auto"/>
        <w:jc w:val="center"/>
        <w:rPr>
          <w:rFonts w:ascii="Times New Roman" w:hAnsi="Times New Roman" w:cs="Times New Roman"/>
          <w:sz w:val="28"/>
          <w:szCs w:val="28"/>
        </w:rPr>
      </w:pPr>
    </w:p>
    <w:p w14:paraId="0F05D085" w14:textId="77777777" w:rsidR="000406B3" w:rsidRPr="008F4873" w:rsidRDefault="000406B3" w:rsidP="000222CC">
      <w:pPr>
        <w:spacing w:line="360" w:lineRule="auto"/>
        <w:jc w:val="center"/>
        <w:rPr>
          <w:rFonts w:ascii="Times New Roman" w:hAnsi="Times New Roman" w:cs="Times New Roman"/>
          <w:sz w:val="28"/>
          <w:szCs w:val="28"/>
        </w:rPr>
      </w:pPr>
    </w:p>
    <w:p w14:paraId="694EB35F" w14:textId="77777777" w:rsidR="000406B3" w:rsidRPr="008F4873" w:rsidRDefault="000406B3" w:rsidP="000222CC">
      <w:pPr>
        <w:spacing w:line="360" w:lineRule="auto"/>
        <w:rPr>
          <w:rFonts w:ascii="Times New Roman" w:hAnsi="Times New Roman" w:cs="Times New Roman"/>
          <w:sz w:val="28"/>
          <w:szCs w:val="28"/>
        </w:rPr>
      </w:pPr>
    </w:p>
    <w:p w14:paraId="52FF86EF" w14:textId="00F3646B" w:rsidR="00746E2E" w:rsidRPr="008F4873" w:rsidRDefault="00746E2E" w:rsidP="000222CC">
      <w:pPr>
        <w:spacing w:line="360" w:lineRule="auto"/>
        <w:rPr>
          <w:rFonts w:ascii="Times New Roman" w:eastAsiaTheme="minorEastAsia" w:hAnsi="Times New Roman" w:cs="Times New Roman"/>
          <w:sz w:val="28"/>
          <w:szCs w:val="28"/>
          <w:lang w:val="de-DE" w:eastAsia="de-DE"/>
        </w:rPr>
      </w:pPr>
      <w:r w:rsidRPr="008F4873">
        <w:rPr>
          <w:rFonts w:ascii="Times New Roman" w:eastAsiaTheme="minorEastAsia" w:hAnsi="Times New Roman" w:cs="Times New Roman"/>
          <w:sz w:val="28"/>
          <w:szCs w:val="28"/>
          <w:lang w:val="de-DE" w:eastAsia="de-DE"/>
        </w:rPr>
        <w:t>Eingereicht von</w:t>
      </w:r>
      <w:r w:rsidRPr="008F4873">
        <w:rPr>
          <w:rFonts w:ascii="Times New Roman" w:eastAsiaTheme="minorEastAsia" w:hAnsi="Times New Roman" w:cs="Times New Roman"/>
          <w:sz w:val="28"/>
          <w:szCs w:val="28"/>
          <w:lang w:val="de-DE" w:eastAsia="de-DE"/>
        </w:rPr>
        <w:tab/>
      </w:r>
      <w:r w:rsidRPr="008F4873">
        <w:rPr>
          <w:rFonts w:ascii="Times New Roman" w:eastAsiaTheme="minorEastAsia" w:hAnsi="Times New Roman" w:cs="Times New Roman"/>
          <w:sz w:val="28"/>
          <w:szCs w:val="28"/>
          <w:lang w:val="de-DE" w:eastAsia="de-DE"/>
        </w:rPr>
        <w:tab/>
      </w:r>
      <w:r w:rsidR="000774C0" w:rsidRPr="008F4873">
        <w:rPr>
          <w:rFonts w:ascii="Times New Roman" w:eastAsiaTheme="minorEastAsia" w:hAnsi="Times New Roman" w:cs="Times New Roman"/>
          <w:sz w:val="28"/>
          <w:szCs w:val="28"/>
          <w:lang w:val="de-DE" w:eastAsia="de-DE"/>
        </w:rPr>
        <w:t>Max Trummer</w:t>
      </w:r>
    </w:p>
    <w:p w14:paraId="11EC6BAE" w14:textId="77777777" w:rsidR="008F4873" w:rsidRDefault="00746E2E" w:rsidP="008F4873">
      <w:pPr>
        <w:spacing w:line="360" w:lineRule="auto"/>
        <w:rPr>
          <w:rFonts w:ascii="Times New Roman" w:eastAsiaTheme="minorEastAsia" w:hAnsi="Times New Roman" w:cs="Times New Roman"/>
          <w:sz w:val="28"/>
          <w:szCs w:val="28"/>
          <w:lang w:eastAsia="de-DE"/>
        </w:rPr>
      </w:pPr>
      <w:r w:rsidRPr="008F4873">
        <w:rPr>
          <w:rFonts w:ascii="Times New Roman" w:eastAsiaTheme="minorEastAsia" w:hAnsi="Times New Roman" w:cs="Times New Roman"/>
          <w:sz w:val="28"/>
          <w:szCs w:val="28"/>
          <w:lang w:val="de-DE" w:eastAsia="de-DE"/>
        </w:rPr>
        <w:t>Matrikelnummer</w:t>
      </w:r>
      <w:r w:rsidR="00196B9B" w:rsidRPr="008F4873">
        <w:rPr>
          <w:rFonts w:ascii="Times New Roman" w:eastAsiaTheme="minorEastAsia" w:hAnsi="Times New Roman" w:cs="Times New Roman"/>
          <w:sz w:val="28"/>
          <w:szCs w:val="28"/>
          <w:lang w:val="de-DE" w:eastAsia="de-DE"/>
        </w:rPr>
        <w:t>:</w:t>
      </w:r>
      <w:r w:rsidRPr="008F4873">
        <w:rPr>
          <w:rFonts w:ascii="Times New Roman" w:eastAsiaTheme="minorEastAsia" w:hAnsi="Times New Roman" w:cs="Times New Roman"/>
          <w:sz w:val="28"/>
          <w:szCs w:val="28"/>
          <w:lang w:val="de-DE" w:eastAsia="de-DE"/>
        </w:rPr>
        <w:tab/>
      </w:r>
      <w:r w:rsidRPr="008F4873">
        <w:rPr>
          <w:rFonts w:ascii="Times New Roman" w:eastAsiaTheme="minorEastAsia" w:hAnsi="Times New Roman" w:cs="Times New Roman"/>
          <w:sz w:val="28"/>
          <w:szCs w:val="28"/>
          <w:lang w:val="de-DE" w:eastAsia="de-DE"/>
        </w:rPr>
        <w:tab/>
      </w:r>
      <w:r w:rsidR="000774C0" w:rsidRPr="008F4873">
        <w:rPr>
          <w:rFonts w:ascii="Times New Roman" w:eastAsiaTheme="minorEastAsia" w:hAnsi="Times New Roman" w:cs="Times New Roman"/>
          <w:sz w:val="28"/>
          <w:szCs w:val="28"/>
          <w:lang w:val="de-DE" w:eastAsia="de-DE"/>
        </w:rPr>
        <w:t>200028</w:t>
      </w:r>
      <w:r w:rsidR="008F4873">
        <w:rPr>
          <w:rFonts w:ascii="Times New Roman" w:eastAsiaTheme="minorEastAsia" w:hAnsi="Times New Roman" w:cs="Times New Roman"/>
          <w:sz w:val="28"/>
          <w:szCs w:val="28"/>
          <w:lang w:eastAsia="de-DE"/>
        </w:rPr>
        <w:t xml:space="preserve"> </w:t>
      </w:r>
    </w:p>
    <w:p w14:paraId="01414044" w14:textId="422FC5DE" w:rsidR="00512602" w:rsidRPr="00217B5E" w:rsidRDefault="00746E2E" w:rsidP="00217B5E">
      <w:pPr>
        <w:spacing w:line="360" w:lineRule="auto"/>
        <w:rPr>
          <w:rFonts w:ascii="Times New Roman" w:eastAsiaTheme="minorEastAsia" w:hAnsi="Times New Roman" w:cs="Times New Roman"/>
          <w:sz w:val="28"/>
          <w:szCs w:val="28"/>
          <w:lang w:eastAsia="de-DE"/>
        </w:rPr>
        <w:sectPr w:rsidR="00512602" w:rsidRPr="00217B5E">
          <w:pgSz w:w="11906" w:h="16838"/>
          <w:pgMar w:top="1417" w:right="1701" w:bottom="1134" w:left="1417" w:header="708" w:footer="708" w:gutter="0"/>
          <w:cols w:space="720"/>
          <w:docGrid w:linePitch="360"/>
        </w:sectPr>
      </w:pPr>
      <w:r w:rsidRPr="008F4873">
        <w:rPr>
          <w:rFonts w:ascii="Times New Roman" w:eastAsiaTheme="minorEastAsia" w:hAnsi="Times New Roman" w:cs="Times New Roman"/>
          <w:sz w:val="28"/>
          <w:szCs w:val="28"/>
          <w:lang w:val="de-DE" w:eastAsia="de-DE"/>
        </w:rPr>
        <w:t>Datum</w:t>
      </w:r>
      <w:r w:rsidR="00196B9B" w:rsidRPr="008F4873">
        <w:rPr>
          <w:rFonts w:ascii="Times New Roman" w:eastAsiaTheme="minorEastAsia" w:hAnsi="Times New Roman" w:cs="Times New Roman"/>
          <w:sz w:val="28"/>
          <w:szCs w:val="28"/>
          <w:lang w:val="de-DE" w:eastAsia="de-DE"/>
        </w:rPr>
        <w:t>:</w:t>
      </w:r>
      <w:r w:rsidRPr="008F4873">
        <w:rPr>
          <w:rFonts w:ascii="Times New Roman" w:eastAsiaTheme="minorEastAsia" w:hAnsi="Times New Roman" w:cs="Times New Roman"/>
          <w:sz w:val="28"/>
          <w:szCs w:val="28"/>
          <w:lang w:val="de-DE" w:eastAsia="de-DE"/>
        </w:rPr>
        <w:tab/>
      </w:r>
      <w:r w:rsidR="000774C0" w:rsidRPr="008F4873">
        <w:rPr>
          <w:rFonts w:ascii="Times New Roman" w:eastAsiaTheme="minorEastAsia" w:hAnsi="Times New Roman" w:cs="Times New Roman"/>
          <w:sz w:val="28"/>
          <w:szCs w:val="28"/>
          <w:lang w:val="de-DE" w:eastAsia="de-DE"/>
        </w:rPr>
        <w:tab/>
      </w:r>
      <w:r w:rsidR="000774C0" w:rsidRPr="008F4873">
        <w:rPr>
          <w:rFonts w:ascii="Times New Roman" w:eastAsiaTheme="minorEastAsia" w:hAnsi="Times New Roman" w:cs="Times New Roman"/>
          <w:sz w:val="28"/>
          <w:szCs w:val="28"/>
          <w:lang w:val="de-DE" w:eastAsia="de-DE"/>
        </w:rPr>
        <w:tab/>
        <w:t>30. Juli 2026</w:t>
      </w:r>
    </w:p>
    <w:p w14:paraId="01414045" w14:textId="77777777" w:rsidR="00512602" w:rsidRPr="008F4873" w:rsidRDefault="00000000">
      <w:pPr>
        <w:spacing w:before="120" w:after="240"/>
        <w:rPr>
          <w:rFonts w:ascii="Times New Roman" w:hAnsi="Times New Roman" w:cs="Times New Roman"/>
        </w:rPr>
      </w:pPr>
      <w:r w:rsidRPr="008F4873">
        <w:rPr>
          <w:rFonts w:ascii="Times New Roman" w:hAnsi="Times New Roman" w:cs="Times New Roman"/>
          <w:b/>
          <w:bCs/>
          <w:sz w:val="32"/>
          <w:szCs w:val="32"/>
        </w:rPr>
        <w:lastRenderedPageBreak/>
        <w:t>Inhaltsverzeichnis</w:t>
      </w:r>
    </w:p>
    <w:p w14:paraId="01414046"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rPr>
        <w:fldChar w:fldCharType="begin"/>
      </w:r>
      <w:r w:rsidRPr="008F4873">
        <w:rPr>
          <w:rFonts w:ascii="Times New Roman" w:hAnsi="Times New Roman" w:cs="Times New Roman"/>
        </w:rPr>
        <w:instrText xml:space="preserve"> TOC \o "1-3" \h \z \u </w:instrText>
      </w:r>
      <w:r w:rsidRPr="008F4873">
        <w:rPr>
          <w:rFonts w:ascii="Times New Roman" w:hAnsi="Times New Roman" w:cs="Times New Roman"/>
        </w:rPr>
        <w:fldChar w:fldCharType="separate"/>
      </w:r>
      <w:r w:rsidRPr="008F4873">
        <w:rPr>
          <w:rFonts w:ascii="Times New Roman" w:hAnsi="Times New Roman" w:cs="Times New Roman"/>
          <w:b/>
          <w:bCs/>
        </w:rPr>
        <w:t>Zusammenfassung</w:t>
      </w:r>
      <w:r w:rsidRPr="008F4873">
        <w:rPr>
          <w:rFonts w:ascii="Times New Roman" w:hAnsi="Times New Roman" w:cs="Times New Roman"/>
          <w:b/>
          <w:bCs/>
        </w:rPr>
        <w:tab/>
        <w:t>2</w:t>
      </w:r>
    </w:p>
    <w:p w14:paraId="01414047"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1 Problemstellung und Relevanz</w:t>
      </w:r>
      <w:r w:rsidRPr="008F4873">
        <w:rPr>
          <w:rFonts w:ascii="Times New Roman" w:hAnsi="Times New Roman" w:cs="Times New Roman"/>
          <w:b/>
          <w:bCs/>
        </w:rPr>
        <w:tab/>
        <w:t>2</w:t>
      </w:r>
    </w:p>
    <w:p w14:paraId="01414048"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2 Zielsetzung</w:t>
      </w:r>
      <w:r w:rsidRPr="008F4873">
        <w:rPr>
          <w:rFonts w:ascii="Times New Roman" w:hAnsi="Times New Roman" w:cs="Times New Roman"/>
          <w:b/>
          <w:bCs/>
        </w:rPr>
        <w:tab/>
        <w:t>3</w:t>
      </w:r>
    </w:p>
    <w:p w14:paraId="01414049"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3 Forschungsfrage und Hypothesen</w:t>
      </w:r>
      <w:r w:rsidRPr="008F4873">
        <w:rPr>
          <w:rFonts w:ascii="Times New Roman" w:hAnsi="Times New Roman" w:cs="Times New Roman"/>
          <w:b/>
          <w:bCs/>
        </w:rPr>
        <w:tab/>
        <w:t>3</w:t>
      </w:r>
    </w:p>
    <w:p w14:paraId="0141404A" w14:textId="77777777" w:rsidR="00512602" w:rsidRPr="008F4873" w:rsidRDefault="00000000">
      <w:pPr>
        <w:tabs>
          <w:tab w:val="right" w:leader="dot" w:pos="8788"/>
        </w:tabs>
        <w:spacing w:line="360" w:lineRule="auto"/>
        <w:ind w:left="360"/>
        <w:rPr>
          <w:rFonts w:ascii="Times New Roman" w:hAnsi="Times New Roman" w:cs="Times New Roman"/>
        </w:rPr>
      </w:pPr>
      <w:r w:rsidRPr="008F4873">
        <w:rPr>
          <w:rFonts w:ascii="Times New Roman" w:hAnsi="Times New Roman" w:cs="Times New Roman"/>
        </w:rPr>
        <w:t>3.1 Forschungsfrage</w:t>
      </w:r>
      <w:r w:rsidRPr="008F4873">
        <w:rPr>
          <w:rFonts w:ascii="Times New Roman" w:hAnsi="Times New Roman" w:cs="Times New Roman"/>
        </w:rPr>
        <w:tab/>
        <w:t>3</w:t>
      </w:r>
    </w:p>
    <w:p w14:paraId="0141404B" w14:textId="77777777" w:rsidR="00512602" w:rsidRPr="008F4873" w:rsidRDefault="00000000">
      <w:pPr>
        <w:tabs>
          <w:tab w:val="right" w:leader="dot" w:pos="8788"/>
        </w:tabs>
        <w:spacing w:line="360" w:lineRule="auto"/>
        <w:ind w:left="360"/>
        <w:rPr>
          <w:rFonts w:ascii="Times New Roman" w:hAnsi="Times New Roman" w:cs="Times New Roman"/>
        </w:rPr>
      </w:pPr>
      <w:r w:rsidRPr="008F4873">
        <w:rPr>
          <w:rFonts w:ascii="Times New Roman" w:hAnsi="Times New Roman" w:cs="Times New Roman"/>
        </w:rPr>
        <w:t>3.2 Hypothesen</w:t>
      </w:r>
      <w:r w:rsidRPr="008F4873">
        <w:rPr>
          <w:rFonts w:ascii="Times New Roman" w:hAnsi="Times New Roman" w:cs="Times New Roman"/>
        </w:rPr>
        <w:tab/>
        <w:t>3</w:t>
      </w:r>
    </w:p>
    <w:p w14:paraId="0141404C"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4 Forschungsstand und wissenschaftliche Vorarbeiten</w:t>
      </w:r>
      <w:r w:rsidRPr="008F4873">
        <w:rPr>
          <w:rFonts w:ascii="Times New Roman" w:hAnsi="Times New Roman" w:cs="Times New Roman"/>
          <w:b/>
          <w:bCs/>
        </w:rPr>
        <w:tab/>
        <w:t>4</w:t>
      </w:r>
    </w:p>
    <w:p w14:paraId="0141404D"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5 Forschungsdesign und Methode</w:t>
      </w:r>
      <w:r w:rsidRPr="008F4873">
        <w:rPr>
          <w:rFonts w:ascii="Times New Roman" w:hAnsi="Times New Roman" w:cs="Times New Roman"/>
          <w:b/>
          <w:bCs/>
        </w:rPr>
        <w:tab/>
        <w:t>5</w:t>
      </w:r>
    </w:p>
    <w:p w14:paraId="0141404E" w14:textId="77777777" w:rsidR="00512602" w:rsidRPr="008F4873" w:rsidRDefault="00000000">
      <w:pPr>
        <w:tabs>
          <w:tab w:val="right" w:leader="dot" w:pos="8788"/>
        </w:tabs>
        <w:spacing w:line="360" w:lineRule="auto"/>
        <w:ind w:left="360"/>
        <w:rPr>
          <w:rFonts w:ascii="Times New Roman" w:hAnsi="Times New Roman" w:cs="Times New Roman"/>
        </w:rPr>
      </w:pPr>
      <w:r w:rsidRPr="008F4873">
        <w:rPr>
          <w:rFonts w:ascii="Times New Roman" w:hAnsi="Times New Roman" w:cs="Times New Roman"/>
        </w:rPr>
        <w:t>5.1 Arbeitsform</w:t>
      </w:r>
      <w:r w:rsidRPr="008F4873">
        <w:rPr>
          <w:rFonts w:ascii="Times New Roman" w:hAnsi="Times New Roman" w:cs="Times New Roman"/>
        </w:rPr>
        <w:tab/>
        <w:t>5</w:t>
      </w:r>
    </w:p>
    <w:p w14:paraId="0141404F" w14:textId="77777777" w:rsidR="00512602" w:rsidRPr="008F4873" w:rsidRDefault="00000000">
      <w:pPr>
        <w:tabs>
          <w:tab w:val="right" w:leader="dot" w:pos="8788"/>
        </w:tabs>
        <w:spacing w:line="360" w:lineRule="auto"/>
        <w:ind w:left="360"/>
        <w:rPr>
          <w:rFonts w:ascii="Times New Roman" w:hAnsi="Times New Roman" w:cs="Times New Roman"/>
        </w:rPr>
      </w:pPr>
      <w:r w:rsidRPr="008F4873">
        <w:rPr>
          <w:rFonts w:ascii="Times New Roman" w:hAnsi="Times New Roman" w:cs="Times New Roman"/>
        </w:rPr>
        <w:t>5.2 Vorgehen</w:t>
      </w:r>
      <w:r w:rsidRPr="008F4873">
        <w:rPr>
          <w:rFonts w:ascii="Times New Roman" w:hAnsi="Times New Roman" w:cs="Times New Roman"/>
        </w:rPr>
        <w:tab/>
        <w:t>5</w:t>
      </w:r>
    </w:p>
    <w:p w14:paraId="01414050" w14:textId="77777777" w:rsidR="00512602" w:rsidRPr="008F4873" w:rsidRDefault="00000000">
      <w:pPr>
        <w:tabs>
          <w:tab w:val="right" w:leader="dot" w:pos="8788"/>
        </w:tabs>
        <w:spacing w:line="360" w:lineRule="auto"/>
        <w:ind w:left="360"/>
        <w:rPr>
          <w:rFonts w:ascii="Times New Roman" w:hAnsi="Times New Roman" w:cs="Times New Roman"/>
        </w:rPr>
      </w:pPr>
      <w:r w:rsidRPr="008F4873">
        <w:rPr>
          <w:rFonts w:ascii="Times New Roman" w:hAnsi="Times New Roman" w:cs="Times New Roman"/>
        </w:rPr>
        <w:t>5.3 Annahmen und Grenzen</w:t>
      </w:r>
      <w:r w:rsidRPr="008F4873">
        <w:rPr>
          <w:rFonts w:ascii="Times New Roman" w:hAnsi="Times New Roman" w:cs="Times New Roman"/>
        </w:rPr>
        <w:tab/>
        <w:t>5</w:t>
      </w:r>
    </w:p>
    <w:p w14:paraId="01414051"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6 Praktischer Nutzen</w:t>
      </w:r>
      <w:r w:rsidRPr="008F4873">
        <w:rPr>
          <w:rFonts w:ascii="Times New Roman" w:hAnsi="Times New Roman" w:cs="Times New Roman"/>
          <w:b/>
          <w:bCs/>
        </w:rPr>
        <w:tab/>
        <w:t>5</w:t>
      </w:r>
    </w:p>
    <w:p w14:paraId="01414052"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7 Grobgliederung der Arbeit</w:t>
      </w:r>
      <w:r w:rsidRPr="008F4873">
        <w:rPr>
          <w:rFonts w:ascii="Times New Roman" w:hAnsi="Times New Roman" w:cs="Times New Roman"/>
          <w:b/>
          <w:bCs/>
        </w:rPr>
        <w:tab/>
        <w:t>6</w:t>
      </w:r>
    </w:p>
    <w:p w14:paraId="01414053"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8 Zeitplan</w:t>
      </w:r>
      <w:r w:rsidRPr="008F4873">
        <w:rPr>
          <w:rFonts w:ascii="Times New Roman" w:hAnsi="Times New Roman" w:cs="Times New Roman"/>
          <w:b/>
          <w:bCs/>
        </w:rPr>
        <w:tab/>
        <w:t>6</w:t>
      </w:r>
    </w:p>
    <w:p w14:paraId="01414054" w14:textId="77777777" w:rsidR="00512602" w:rsidRPr="008F4873" w:rsidRDefault="00000000">
      <w:pPr>
        <w:tabs>
          <w:tab w:val="right" w:leader="dot" w:pos="8788"/>
        </w:tabs>
        <w:spacing w:line="360" w:lineRule="auto"/>
        <w:rPr>
          <w:rFonts w:ascii="Times New Roman" w:hAnsi="Times New Roman" w:cs="Times New Roman"/>
        </w:rPr>
      </w:pPr>
      <w:r w:rsidRPr="008F4873">
        <w:rPr>
          <w:rFonts w:ascii="Times New Roman" w:hAnsi="Times New Roman" w:cs="Times New Roman"/>
          <w:b/>
          <w:bCs/>
        </w:rPr>
        <w:t>Quellenverzeichnis</w:t>
      </w:r>
      <w:r w:rsidRPr="008F4873">
        <w:rPr>
          <w:rFonts w:ascii="Times New Roman" w:hAnsi="Times New Roman" w:cs="Times New Roman"/>
          <w:b/>
          <w:bCs/>
        </w:rPr>
        <w:tab/>
        <w:t>6</w:t>
      </w:r>
      <w:r w:rsidRPr="008F4873">
        <w:rPr>
          <w:rFonts w:ascii="Times New Roman" w:hAnsi="Times New Roman" w:cs="Times New Roman"/>
        </w:rPr>
        <w:fldChar w:fldCharType="end"/>
      </w:r>
    </w:p>
    <w:p w14:paraId="01414055" w14:textId="77777777" w:rsidR="00512602" w:rsidRPr="008F4873" w:rsidRDefault="00000000">
      <w:pPr>
        <w:rPr>
          <w:rFonts w:ascii="Times New Roman" w:hAnsi="Times New Roman" w:cs="Times New Roman"/>
        </w:rPr>
      </w:pPr>
      <w:r w:rsidRPr="008F4873">
        <w:rPr>
          <w:rFonts w:ascii="Times New Roman" w:hAnsi="Times New Roman" w:cs="Times New Roman"/>
        </w:rPr>
        <w:br w:type="page"/>
      </w:r>
    </w:p>
    <w:p w14:paraId="01414056"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lastRenderedPageBreak/>
        <w:t>Zusammenfassung</w:t>
      </w:r>
    </w:p>
    <w:p w14:paraId="01414057" w14:textId="167B26DF" w:rsidR="00512602" w:rsidRPr="008F4873" w:rsidRDefault="00000000">
      <w:pPr>
        <w:spacing w:after="120" w:line="360" w:lineRule="auto"/>
        <w:jc w:val="both"/>
        <w:rPr>
          <w:rFonts w:ascii="Times New Roman" w:hAnsi="Times New Roman" w:cs="Times New Roman"/>
        </w:rPr>
      </w:pPr>
      <w:proofErr w:type="spellStart"/>
      <w:r w:rsidRPr="008F4873">
        <w:rPr>
          <w:rFonts w:ascii="Times New Roman" w:hAnsi="Times New Roman" w:cs="Times New Roman"/>
        </w:rPr>
        <w:t>Spiking</w:t>
      </w:r>
      <w:proofErr w:type="spellEnd"/>
      <w:r w:rsidRPr="008F4873">
        <w:rPr>
          <w:rFonts w:ascii="Times New Roman" w:hAnsi="Times New Roman" w:cs="Times New Roman"/>
        </w:rPr>
        <w:t xml:space="preserve"> </w:t>
      </w:r>
      <w:proofErr w:type="spellStart"/>
      <w:r w:rsidRPr="008F4873">
        <w:rPr>
          <w:rFonts w:ascii="Times New Roman" w:hAnsi="Times New Roman" w:cs="Times New Roman"/>
        </w:rPr>
        <w:t>Neural</w:t>
      </w:r>
      <w:proofErr w:type="spellEnd"/>
      <w:r w:rsidRPr="008F4873">
        <w:rPr>
          <w:rFonts w:ascii="Times New Roman" w:hAnsi="Times New Roman" w:cs="Times New Roman"/>
        </w:rPr>
        <w:t xml:space="preserve"> Networks (SNNs) gelten </w:t>
      </w:r>
      <w:r w:rsidR="005B13F2">
        <w:rPr>
          <w:rFonts w:ascii="Times New Roman" w:hAnsi="Times New Roman" w:cs="Times New Roman"/>
        </w:rPr>
        <w:t xml:space="preserve">in der Theorie </w:t>
      </w:r>
      <w:r w:rsidRPr="008F4873">
        <w:rPr>
          <w:rFonts w:ascii="Times New Roman" w:hAnsi="Times New Roman" w:cs="Times New Roman"/>
        </w:rPr>
        <w:t xml:space="preserve">als energieeffiziente Alternative zu klassischen tiefen Netzen. Diese Arbeit prüft diese Behauptung für die </w:t>
      </w:r>
      <w:proofErr w:type="spellStart"/>
      <w:r w:rsidRPr="008F4873">
        <w:rPr>
          <w:rFonts w:ascii="Times New Roman" w:hAnsi="Times New Roman" w:cs="Times New Roman"/>
        </w:rPr>
        <w:t>Sentimentklassifikation</w:t>
      </w:r>
      <w:proofErr w:type="spellEnd"/>
      <w:r w:rsidRPr="008F4873">
        <w:rPr>
          <w:rFonts w:ascii="Times New Roman" w:hAnsi="Times New Roman" w:cs="Times New Roman"/>
        </w:rPr>
        <w:t xml:space="preserve"> auf SST-2 und zeigt, dass der Energievorteil nicht bedingungslos gilt, sondern von der Energie pro Spike der Zielhardware und der Rechenpräzision des Transformer-Vergleichsmodells (FP32 oder INT8) abhängt. Auf Basis eigener Experimente mit sechs parametervergleichbaren Modellen (1 bis 5 Mio. Parameter) wird der Kipppunkt bestimmt, ab dem sich der Vorteil dreht: Gegenüber FP32 ist das SNN durchgängig effizienter (Faktor rund 164 bis 201 je nach Modellpaarung), gegenüber INT8 kippt der Vorteil bereits bei rund </w:t>
      </w:r>
      <w:r w:rsidR="00DC4F39">
        <w:rPr>
          <w:rFonts w:ascii="Times New Roman" w:hAnsi="Times New Roman" w:cs="Times New Roman"/>
        </w:rPr>
        <w:t>7</w:t>
      </w:r>
      <w:r w:rsidRPr="008F4873">
        <w:rPr>
          <w:rFonts w:ascii="Times New Roman" w:hAnsi="Times New Roman" w:cs="Times New Roman"/>
        </w:rPr>
        <w:t xml:space="preserve"> bis 9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pro Spike und damit unterhalb der Werte dokumentierter </w:t>
      </w:r>
      <w:proofErr w:type="spellStart"/>
      <w:r w:rsidRPr="008F4873">
        <w:rPr>
          <w:rFonts w:ascii="Times New Roman" w:hAnsi="Times New Roman" w:cs="Times New Roman"/>
        </w:rPr>
        <w:t>neuromorpher</w:t>
      </w:r>
      <w:proofErr w:type="spellEnd"/>
      <w:r w:rsidRPr="008F4873">
        <w:rPr>
          <w:rFonts w:ascii="Times New Roman" w:hAnsi="Times New Roman" w:cs="Times New Roman"/>
        </w:rPr>
        <w:t xml:space="preserve"> Chips wie Intel </w:t>
      </w:r>
      <w:proofErr w:type="spellStart"/>
      <w:r w:rsidRPr="008F4873">
        <w:rPr>
          <w:rFonts w:ascii="Times New Roman" w:hAnsi="Times New Roman" w:cs="Times New Roman"/>
        </w:rPr>
        <w:t>Loihi</w:t>
      </w:r>
      <w:proofErr w:type="spellEnd"/>
      <w:r w:rsidRPr="008F4873">
        <w:rPr>
          <w:rFonts w:ascii="Times New Roman" w:hAnsi="Times New Roman" w:cs="Times New Roman"/>
        </w:rPr>
        <w:t xml:space="preserve"> (23,6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w:t>
      </w:r>
      <w:proofErr w:type="gramStart"/>
      <w:r w:rsidRPr="008F4873">
        <w:rPr>
          <w:rFonts w:ascii="Times New Roman" w:hAnsi="Times New Roman" w:cs="Times New Roman"/>
        </w:rPr>
        <w:t>pro synaptischer Operation</w:t>
      </w:r>
      <w:proofErr w:type="gramEnd"/>
      <w:r w:rsidRPr="008F4873">
        <w:rPr>
          <w:rFonts w:ascii="Times New Roman" w:hAnsi="Times New Roman" w:cs="Times New Roman"/>
        </w:rPr>
        <w:t xml:space="preserve">). Das Ergebnis wird als Effizienz-Landkarte aufbereitet, die </w:t>
      </w:r>
      <w:proofErr w:type="spellStart"/>
      <w:r w:rsidRPr="008F4873">
        <w:rPr>
          <w:rFonts w:ascii="Times New Roman" w:hAnsi="Times New Roman" w:cs="Times New Roman"/>
        </w:rPr>
        <w:t>Deployment</w:t>
      </w:r>
      <w:proofErr w:type="spellEnd"/>
      <w:r w:rsidRPr="008F4873">
        <w:rPr>
          <w:rFonts w:ascii="Times New Roman" w:hAnsi="Times New Roman" w:cs="Times New Roman"/>
        </w:rPr>
        <w:t xml:space="preserve">-Entscheidungen zwischen </w:t>
      </w:r>
      <w:proofErr w:type="spellStart"/>
      <w:r w:rsidRPr="008F4873">
        <w:rPr>
          <w:rFonts w:ascii="Times New Roman" w:hAnsi="Times New Roman" w:cs="Times New Roman"/>
        </w:rPr>
        <w:t>neuromorpher</w:t>
      </w:r>
      <w:proofErr w:type="spellEnd"/>
      <w:r w:rsidRPr="008F4873">
        <w:rPr>
          <w:rFonts w:ascii="Times New Roman" w:hAnsi="Times New Roman" w:cs="Times New Roman"/>
        </w:rPr>
        <w:t xml:space="preserve"> Hardware und quantisierten Standardmodellen unterstützt.</w:t>
      </w:r>
    </w:p>
    <w:p w14:paraId="01414058"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t>1 Problemstellung und Relevanz</w:t>
      </w:r>
    </w:p>
    <w:p w14:paraId="01414059"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Die Energiekosten des maschinellen Lernens sind zu einem eigenständigen Forschungs- und Kostenthema geworden (</w:t>
      </w:r>
      <w:proofErr w:type="spellStart"/>
      <w:r w:rsidRPr="008F4873">
        <w:rPr>
          <w:rFonts w:ascii="Times New Roman" w:hAnsi="Times New Roman" w:cs="Times New Roman"/>
        </w:rPr>
        <w:t>Strubell</w:t>
      </w:r>
      <w:proofErr w:type="spellEnd"/>
      <w:r w:rsidRPr="008F4873">
        <w:rPr>
          <w:rFonts w:ascii="Times New Roman" w:hAnsi="Times New Roman" w:cs="Times New Roman"/>
        </w:rPr>
        <w:t xml:space="preserve">, Ganesh &amp; McCallum, 2019; Patterson et al., 2021). Im produktiven Betrieb dominiert nicht das einmalige Training, sondern die millionenfach anfallende Inferenz die laufenden Kosten; auf Edge-Geräten wird die Energie pro Inferenz zusätzlich zu einer harten Batterierestriktion. Als Antwort werden SNNs in Verbindung mit </w:t>
      </w:r>
      <w:proofErr w:type="spellStart"/>
      <w:r w:rsidRPr="008F4873">
        <w:rPr>
          <w:rFonts w:ascii="Times New Roman" w:hAnsi="Times New Roman" w:cs="Times New Roman"/>
        </w:rPr>
        <w:t>neuromorpher</w:t>
      </w:r>
      <w:proofErr w:type="spellEnd"/>
      <w:r w:rsidRPr="008F4873">
        <w:rPr>
          <w:rFonts w:ascii="Times New Roman" w:hAnsi="Times New Roman" w:cs="Times New Roman"/>
        </w:rPr>
        <w:t xml:space="preserve"> Hardware regelmäßig als besonders energieeffizient positioniert (Roy, Jaiswal &amp; Panda, 2019), inzwischen auch für NLP-Aufgaben (Zhu et al., 2023; </w:t>
      </w:r>
      <w:proofErr w:type="spellStart"/>
      <w:r w:rsidRPr="008F4873">
        <w:rPr>
          <w:rFonts w:ascii="Times New Roman" w:hAnsi="Times New Roman" w:cs="Times New Roman"/>
        </w:rPr>
        <w:t>Lv</w:t>
      </w:r>
      <w:proofErr w:type="spellEnd"/>
      <w:r w:rsidRPr="008F4873">
        <w:rPr>
          <w:rFonts w:ascii="Times New Roman" w:hAnsi="Times New Roman" w:cs="Times New Roman"/>
        </w:rPr>
        <w:t xml:space="preserve"> et al., 2023; </w:t>
      </w:r>
      <w:proofErr w:type="spellStart"/>
      <w:r w:rsidRPr="008F4873">
        <w:rPr>
          <w:rFonts w:ascii="Times New Roman" w:hAnsi="Times New Roman" w:cs="Times New Roman"/>
        </w:rPr>
        <w:t>Bal</w:t>
      </w:r>
      <w:proofErr w:type="spellEnd"/>
      <w:r w:rsidRPr="008F4873">
        <w:rPr>
          <w:rFonts w:ascii="Times New Roman" w:hAnsi="Times New Roman" w:cs="Times New Roman"/>
        </w:rPr>
        <w:t xml:space="preserve"> &amp; Sengupta, 2024).</w:t>
      </w:r>
    </w:p>
    <w:p w14:paraId="0141405A"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Diese Effizienzversprechen stehen jedoch zunehmend in der Kritik: Auf gleicher digitaler Hardware sind ratencodierte SNNs oft nicht effizienter als klassische Netze (Davidson &amp; Furber, 2021; </w:t>
      </w:r>
      <w:proofErr w:type="spellStart"/>
      <w:r w:rsidRPr="008F4873">
        <w:rPr>
          <w:rFonts w:ascii="Times New Roman" w:hAnsi="Times New Roman" w:cs="Times New Roman"/>
        </w:rPr>
        <w:t>Dampfhoffer</w:t>
      </w:r>
      <w:proofErr w:type="spellEnd"/>
      <w:r w:rsidRPr="008F4873">
        <w:rPr>
          <w:rFonts w:ascii="Times New Roman" w:hAnsi="Times New Roman" w:cs="Times New Roman"/>
        </w:rPr>
        <w:t xml:space="preserve"> et al., 2023), und der Vorteil hängt an niedrigen Spike-Raten (Yan, Bai &amp; Wong, 2024). Zudem wird der SNN-Vorteil häufig gegen </w:t>
      </w:r>
      <w:proofErr w:type="spellStart"/>
      <w:r w:rsidRPr="008F4873">
        <w:rPr>
          <w:rFonts w:ascii="Times New Roman" w:hAnsi="Times New Roman" w:cs="Times New Roman"/>
        </w:rPr>
        <w:t>unquantisierte</w:t>
      </w:r>
      <w:proofErr w:type="spellEnd"/>
      <w:r w:rsidRPr="008F4873">
        <w:rPr>
          <w:rFonts w:ascii="Times New Roman" w:hAnsi="Times New Roman" w:cs="Times New Roman"/>
        </w:rPr>
        <w:t xml:space="preserve"> FP32-Modelle gerechnet, obwohl INT8-Quantisierung bei Transformern längst Stand der Technik ist (Zafrir et al., 2019; Kim et al., 2021). Damit fehlt eine transparente, quantitative Antwort darauf, unter welchen Hardware- und Präzisionsbedingungen sich ein SNN gegenüber einem quantisierten Transformer tatsächlich lohnt. Diese Lücke adressiert die Arbeit mit einem anwendungsorientierten, datenbasierten Ansatz, der zum Profil des Studiengangs Data Science and Management passt: Es geht nicht um neue Lernverfahren, sondern um eine belastbare Entscheidungsgrundlage für </w:t>
      </w:r>
      <w:proofErr w:type="spellStart"/>
      <w:r w:rsidRPr="008F4873">
        <w:rPr>
          <w:rFonts w:ascii="Times New Roman" w:hAnsi="Times New Roman" w:cs="Times New Roman"/>
        </w:rPr>
        <w:t>Deployment</w:t>
      </w:r>
      <w:proofErr w:type="spellEnd"/>
      <w:r w:rsidRPr="008F4873">
        <w:rPr>
          <w:rFonts w:ascii="Times New Roman" w:hAnsi="Times New Roman" w:cs="Times New Roman"/>
        </w:rPr>
        <w:t>- und Investitionsentscheidungen.</w:t>
      </w:r>
    </w:p>
    <w:p w14:paraId="0141405B"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lastRenderedPageBreak/>
        <w:t>2 Zielsetzung</w:t>
      </w:r>
    </w:p>
    <w:p w14:paraId="0141405C"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Ziel ist es, den Energievorteil von SNNs gegenüber Transformern für die </w:t>
      </w:r>
      <w:proofErr w:type="spellStart"/>
      <w:r w:rsidRPr="008F4873">
        <w:rPr>
          <w:rFonts w:ascii="Times New Roman" w:hAnsi="Times New Roman" w:cs="Times New Roman"/>
        </w:rPr>
        <w:t>Sentimentklassifikation</w:t>
      </w:r>
      <w:proofErr w:type="spellEnd"/>
      <w:r w:rsidRPr="008F4873">
        <w:rPr>
          <w:rFonts w:ascii="Times New Roman" w:hAnsi="Times New Roman" w:cs="Times New Roman"/>
        </w:rPr>
        <w:t xml:space="preserve"> auf SST-2 zu </w:t>
      </w:r>
      <w:proofErr w:type="gramStart"/>
      <w:r w:rsidRPr="008F4873">
        <w:rPr>
          <w:rFonts w:ascii="Times New Roman" w:hAnsi="Times New Roman" w:cs="Times New Roman"/>
        </w:rPr>
        <w:t>konditionieren</w:t>
      </w:r>
      <w:proofErr w:type="gramEnd"/>
      <w:r w:rsidRPr="008F4873">
        <w:rPr>
          <w:rFonts w:ascii="Times New Roman" w:hAnsi="Times New Roman" w:cs="Times New Roman"/>
        </w:rPr>
        <w:t xml:space="preserve"> statt zu pauschalisieren. Die Arbeit weist auf Basis eigener Experimente nach, dass parametervergleichbare SNN- und Transformer-Modelle (1 bis 5 Mio. Parameter) eine vergleichbare Klassifikationsgüte erreichen, erfasst die Rechenlast beider Architekturen in hardwareunabhängigen Operationszahlen (synaptische Operationen, </w:t>
      </w:r>
      <w:proofErr w:type="spellStart"/>
      <w:r w:rsidRPr="008F4873">
        <w:rPr>
          <w:rFonts w:ascii="Times New Roman" w:hAnsi="Times New Roman" w:cs="Times New Roman"/>
        </w:rPr>
        <w:t>SynOps</w:t>
      </w:r>
      <w:proofErr w:type="spellEnd"/>
      <w:r w:rsidRPr="008F4873">
        <w:rPr>
          <w:rFonts w:ascii="Times New Roman" w:hAnsi="Times New Roman" w:cs="Times New Roman"/>
        </w:rPr>
        <w:t xml:space="preserve">, gegenüber </w:t>
      </w:r>
      <w:proofErr w:type="spellStart"/>
      <w:r w:rsidRPr="008F4873">
        <w:rPr>
          <w:rFonts w:ascii="Times New Roman" w:hAnsi="Times New Roman" w:cs="Times New Roman"/>
        </w:rPr>
        <w:t>Multiply</w:t>
      </w:r>
      <w:proofErr w:type="spellEnd"/>
      <w:r w:rsidRPr="008F4873">
        <w:rPr>
          <w:rFonts w:ascii="Times New Roman" w:hAnsi="Times New Roman" w:cs="Times New Roman"/>
        </w:rPr>
        <w:t xml:space="preserve">-Accumulate-Operationen, MACs) und bestimmt über ein transparentes Energiemodell den Kipppunkt, ab dem der SNN-Vorteil gegenüber FP32- und INT8-Transformern kippt. Das Ergebnis wird als Effizienz-Landkarte über Energie pro Spike und Rechenpräzision dargestellt und mit dokumentierten </w:t>
      </w:r>
      <w:proofErr w:type="spellStart"/>
      <w:r w:rsidRPr="008F4873">
        <w:rPr>
          <w:rFonts w:ascii="Times New Roman" w:hAnsi="Times New Roman" w:cs="Times New Roman"/>
        </w:rPr>
        <w:t>neuromorphen</w:t>
      </w:r>
      <w:proofErr w:type="spellEnd"/>
      <w:r w:rsidRPr="008F4873">
        <w:rPr>
          <w:rFonts w:ascii="Times New Roman" w:hAnsi="Times New Roman" w:cs="Times New Roman"/>
        </w:rPr>
        <w:t xml:space="preserve"> Chips verortet.</w:t>
      </w:r>
    </w:p>
    <w:p w14:paraId="0141405D"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t>3 Forschungsfrage und Hypothesen</w:t>
      </w:r>
    </w:p>
    <w:p w14:paraId="0141405E" w14:textId="77777777" w:rsidR="00512602" w:rsidRPr="005C7052" w:rsidRDefault="00000000">
      <w:pPr>
        <w:pStyle w:val="Heading2"/>
        <w:rPr>
          <w:rFonts w:ascii="Times New Roman" w:hAnsi="Times New Roman" w:cs="Times New Roman"/>
          <w:sz w:val="28"/>
          <w:szCs w:val="28"/>
        </w:rPr>
      </w:pPr>
      <w:r w:rsidRPr="005C7052">
        <w:rPr>
          <w:rFonts w:ascii="Times New Roman" w:hAnsi="Times New Roman" w:cs="Times New Roman"/>
          <w:sz w:val="28"/>
          <w:szCs w:val="28"/>
        </w:rPr>
        <w:t>3.1 Forschungsfrage</w:t>
      </w:r>
    </w:p>
    <w:p w14:paraId="0141405F"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Unter welchen Bedingungen, charakterisiert durch die Energie pro Spike der Zielhardware und die Rechenpräzision des Vergleichsmodells (FP32 oder INT8), ist ein </w:t>
      </w:r>
      <w:proofErr w:type="spellStart"/>
      <w:r w:rsidRPr="008F4873">
        <w:rPr>
          <w:rFonts w:ascii="Times New Roman" w:hAnsi="Times New Roman" w:cs="Times New Roman"/>
        </w:rPr>
        <w:t>Spiking</w:t>
      </w:r>
      <w:proofErr w:type="spellEnd"/>
      <w:r w:rsidRPr="008F4873">
        <w:rPr>
          <w:rFonts w:ascii="Times New Roman" w:hAnsi="Times New Roman" w:cs="Times New Roman"/>
        </w:rPr>
        <w:t xml:space="preserve"> </w:t>
      </w:r>
      <w:proofErr w:type="spellStart"/>
      <w:r w:rsidRPr="008F4873">
        <w:rPr>
          <w:rFonts w:ascii="Times New Roman" w:hAnsi="Times New Roman" w:cs="Times New Roman"/>
        </w:rPr>
        <w:t>Neural</w:t>
      </w:r>
      <w:proofErr w:type="spellEnd"/>
      <w:r w:rsidRPr="008F4873">
        <w:rPr>
          <w:rFonts w:ascii="Times New Roman" w:hAnsi="Times New Roman" w:cs="Times New Roman"/>
        </w:rPr>
        <w:t xml:space="preserve"> Network bei der </w:t>
      </w:r>
      <w:proofErr w:type="spellStart"/>
      <w:r w:rsidRPr="008F4873">
        <w:rPr>
          <w:rFonts w:ascii="Times New Roman" w:hAnsi="Times New Roman" w:cs="Times New Roman"/>
        </w:rPr>
        <w:t>Sentimentklassifikation</w:t>
      </w:r>
      <w:proofErr w:type="spellEnd"/>
      <w:r w:rsidRPr="008F4873">
        <w:rPr>
          <w:rFonts w:ascii="Times New Roman" w:hAnsi="Times New Roman" w:cs="Times New Roman"/>
        </w:rPr>
        <w:t xml:space="preserve"> auf SST-2 energieeffizienter als ein parametervergleichbarer Transformer, und bei welcher Energie pro Spike liegt der Kipppunkt?</w:t>
      </w:r>
    </w:p>
    <w:p w14:paraId="01414060" w14:textId="77777777" w:rsidR="00512602" w:rsidRPr="005C7052" w:rsidRDefault="00000000">
      <w:pPr>
        <w:pStyle w:val="Heading2"/>
        <w:rPr>
          <w:rFonts w:ascii="Times New Roman" w:hAnsi="Times New Roman" w:cs="Times New Roman"/>
          <w:sz w:val="28"/>
          <w:szCs w:val="28"/>
        </w:rPr>
      </w:pPr>
      <w:r w:rsidRPr="005C7052">
        <w:rPr>
          <w:rFonts w:ascii="Times New Roman" w:hAnsi="Times New Roman" w:cs="Times New Roman"/>
          <w:sz w:val="28"/>
          <w:szCs w:val="28"/>
        </w:rPr>
        <w:t>3.2 Hypothesen</w:t>
      </w:r>
    </w:p>
    <w:p w14:paraId="01414061"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Daraus ergeben sich zwei gerichtete, über die Messdaten prüfbare Hypothesen. H1: Gegenüber einem FP32-Transformer ist das SNN über den gesamten dokumentierten Bereich der Energie pro Spike (0,9 bis 45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effizienter, bei 0,9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um mehr als zwei Größenordnungen. H2: Gegenüber einem INT8-Transformer kippt der Vorteil bei rund 7 bis 9 pJ</w:t>
      </w:r>
      <w:proofErr w:type="spellStart"/>
      <w:r w:rsidRPr="008F4873">
        <w:rPr>
          <w:rFonts w:ascii="Times New Roman" w:hAnsi="Times New Roman" w:cs="Times New Roman"/>
        </w:rPr>
      </w:r>
      <w:proofErr w:type="spellEnd"/>
      <w:r w:rsidRPr="008F4873">
        <w:rPr>
          <w:rFonts w:ascii="Times New Roman" w:hAnsi="Times New Roman" w:cs="Times New Roman"/>
        </w:rPr>
        <w:t xml:space="preserve"> pro Spike; auf dokumentierter digitaler </w:t>
      </w:r>
      <w:proofErr w:type="spellStart"/>
      <w:r w:rsidRPr="008F4873">
        <w:rPr>
          <w:rFonts w:ascii="Times New Roman" w:hAnsi="Times New Roman" w:cs="Times New Roman"/>
        </w:rPr>
        <w:t>neuromorpher</w:t>
      </w:r>
      <w:proofErr w:type="spellEnd"/>
      <w:r w:rsidRPr="008F4873">
        <w:rPr>
          <w:rFonts w:ascii="Times New Roman" w:hAnsi="Times New Roman" w:cs="Times New Roman"/>
        </w:rPr>
        <w:t xml:space="preserve"> Hardware (</w:t>
      </w:r>
      <w:proofErr w:type="spellStart"/>
      <w:r w:rsidRPr="008F4873">
        <w:rPr>
          <w:rFonts w:ascii="Times New Roman" w:hAnsi="Times New Roman" w:cs="Times New Roman"/>
        </w:rPr>
        <w:t>Loihi</w:t>
      </w:r>
      <w:proofErr w:type="spellEnd"/>
      <w:r w:rsidRPr="008F4873">
        <w:rPr>
          <w:rFonts w:ascii="Times New Roman" w:hAnsi="Times New Roman" w:cs="Times New Roman"/>
        </w:rPr>
        <w:t xml:space="preserve"> 23,6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w:t>
      </w:r>
      <w:proofErr w:type="spellStart"/>
      <w:r w:rsidRPr="008F4873">
        <w:rPr>
          <w:rFonts w:ascii="Times New Roman" w:hAnsi="Times New Roman" w:cs="Times New Roman"/>
        </w:rPr>
        <w:t>TrueNorth</w:t>
      </w:r>
      <w:proofErr w:type="spellEnd"/>
      <w:r w:rsidRPr="008F4873">
        <w:rPr>
          <w:rFonts w:ascii="Times New Roman" w:hAnsi="Times New Roman" w:cs="Times New Roman"/>
        </w:rPr>
        <w:t xml:space="preserve"> 26 </w:t>
      </w:r>
      <w:proofErr w:type="spellStart"/>
      <w:r w:rsidRPr="008F4873">
        <w:rPr>
          <w:rFonts w:ascii="Times New Roman" w:hAnsi="Times New Roman" w:cs="Times New Roman"/>
        </w:rPr>
        <w:t>pJ</w:t>
      </w:r>
      <w:proofErr w:type="spellEnd"/>
      <w:r w:rsidRPr="008F4873">
        <w:rPr>
          <w:rFonts w:ascii="Times New Roman" w:hAnsi="Times New Roman" w:cs="Times New Roman"/>
        </w:rPr>
        <w:t>) ist der INT8-Transformer folglich energieeffizienter.</w:t>
      </w:r>
    </w:p>
    <w:p w14:paraId="01414062"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t>4 Forschungsstand und wissenschaftliche Vorarbeiten</w:t>
      </w:r>
    </w:p>
    <w:p w14:paraId="3C236424" w14:textId="77777777" w:rsidR="007A6E02"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Die Standardreferenz für Energiekosten elementarer Operationen ist Horowitz (2014): In 45-nm-Technologie kostet ein FP32-MAC rund 4,6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ein INT8-MAC rund 0,23 </w:t>
      </w:r>
      <w:proofErr w:type="spellStart"/>
      <w:r w:rsidRPr="008F4873">
        <w:rPr>
          <w:rFonts w:ascii="Times New Roman" w:hAnsi="Times New Roman" w:cs="Times New Roman"/>
        </w:rPr>
        <w:t>pJ</w:t>
      </w:r>
      <w:proofErr w:type="spellEnd"/>
      <w:r w:rsidRPr="008F4873">
        <w:rPr>
          <w:rFonts w:ascii="Times New Roman" w:hAnsi="Times New Roman" w:cs="Times New Roman"/>
        </w:rPr>
        <w:t>. Für SNNs haben Lemaire et al. (2022) die Zahl spikegetriebener synaptischer Ereignisse (</w:t>
      </w:r>
      <w:proofErr w:type="spellStart"/>
      <w:r w:rsidRPr="008F4873">
        <w:rPr>
          <w:rFonts w:ascii="Times New Roman" w:hAnsi="Times New Roman" w:cs="Times New Roman"/>
        </w:rPr>
        <w:t>SynOps</w:t>
      </w:r>
      <w:proofErr w:type="spellEnd"/>
      <w:r w:rsidRPr="008F4873">
        <w:rPr>
          <w:rFonts w:ascii="Times New Roman" w:hAnsi="Times New Roman" w:cs="Times New Roman"/>
        </w:rPr>
        <w:t xml:space="preserve">) als hardwareunabhängiges Gegenstück zur MAC-Zahl etabliert; das </w:t>
      </w:r>
      <w:proofErr w:type="spellStart"/>
      <w:r w:rsidRPr="008F4873">
        <w:rPr>
          <w:rFonts w:ascii="Times New Roman" w:hAnsi="Times New Roman" w:cs="Times New Roman"/>
        </w:rPr>
        <w:t>NeuroBench</w:t>
      </w:r>
      <w:proofErr w:type="spellEnd"/>
      <w:r w:rsidRPr="008F4873">
        <w:rPr>
          <w:rFonts w:ascii="Times New Roman" w:hAnsi="Times New Roman" w:cs="Times New Roman"/>
        </w:rPr>
        <w:t xml:space="preserve">-Framework (Yik et al., 2025) fordert solche fairen, hardwareunabhängigen Vergleiche. Dokumentierte digitale </w:t>
      </w:r>
      <w:proofErr w:type="spellStart"/>
      <w:r w:rsidRPr="008F4873">
        <w:rPr>
          <w:rFonts w:ascii="Times New Roman" w:hAnsi="Times New Roman" w:cs="Times New Roman"/>
        </w:rPr>
        <w:t>neuromorphe</w:t>
      </w:r>
      <w:proofErr w:type="spellEnd"/>
      <w:r w:rsidRPr="008F4873">
        <w:rPr>
          <w:rFonts w:ascii="Times New Roman" w:hAnsi="Times New Roman" w:cs="Times New Roman"/>
        </w:rPr>
        <w:t xml:space="preserve"> Chips liegen bei 23,6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w:t>
      </w:r>
      <w:proofErr w:type="gramStart"/>
      <w:r w:rsidRPr="008F4873">
        <w:rPr>
          <w:rFonts w:ascii="Times New Roman" w:hAnsi="Times New Roman" w:cs="Times New Roman"/>
        </w:rPr>
        <w:t>pro synaptischer Operation</w:t>
      </w:r>
      <w:proofErr w:type="gramEnd"/>
      <w:r w:rsidRPr="008F4873">
        <w:rPr>
          <w:rFonts w:ascii="Times New Roman" w:hAnsi="Times New Roman" w:cs="Times New Roman"/>
        </w:rPr>
        <w:t xml:space="preserve"> (Loihi, Davies et al., 2018; zur Nachfolgegeneration Loihi 2 vgl. Orchard et al., 2021)</w:t>
      </w:r>
      <w:proofErr w:type="spellStart"/>
      <w:r w:rsidRPr="008F4873">
        <w:rPr>
          <w:rFonts w:ascii="Times New Roman" w:hAnsi="Times New Roman" w:cs="Times New Roman"/>
        </w:rPr>
      </w:r>
      <w:proofErr w:type="spellEnd"/>
      <w:r w:rsidRPr="008F4873">
        <w:rPr>
          <w:rFonts w:ascii="Times New Roman" w:hAnsi="Times New Roman" w:cs="Times New Roman"/>
        </w:rPr>
      </w:r>
      <w:r w:rsidRPr="008F4873">
        <w:rPr>
          <w:rFonts w:ascii="Times New Roman" w:hAnsi="Times New Roman" w:cs="Times New Roman"/>
        </w:rPr>
        <w:t xml:space="preserve"> bzw. 26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w:t>
      </w:r>
      <w:proofErr w:type="gramStart"/>
      <w:r w:rsidRPr="008F4873">
        <w:rPr>
          <w:rFonts w:ascii="Times New Roman" w:hAnsi="Times New Roman" w:cs="Times New Roman"/>
        </w:rPr>
        <w:t>pro synaptischem Ereignis</w:t>
      </w:r>
      <w:proofErr w:type="gramEnd"/>
      <w:r w:rsidRPr="008F4873">
        <w:rPr>
          <w:rFonts w:ascii="Times New Roman" w:hAnsi="Times New Roman" w:cs="Times New Roman"/>
        </w:rPr>
        <w:t xml:space="preserve"> (TrueNorth, Merolla et al., 2014).</w:t>
      </w:r>
      <w:proofErr w:type="spellStart"/>
      <w:r w:rsidRPr="008F4873">
        <w:rPr>
          <w:rFonts w:ascii="Times New Roman" w:hAnsi="Times New Roman" w:cs="Times New Roman"/>
        </w:rPr>
      </w:r>
      <w:proofErr w:type="spellEnd"/>
      <w:r w:rsidRPr="008F4873">
        <w:rPr>
          <w:rFonts w:ascii="Times New Roman" w:hAnsi="Times New Roman" w:cs="Times New Roman"/>
        </w:rPr>
      </w:r>
      <w:r w:rsidR="007A6E02" w:rsidRPr="007A6E02">
        <w:rPr>
          <w:rFonts w:ascii="Times New Roman" w:hAnsi="Times New Roman" w:cs="Times New Roman"/>
        </w:rPr>
        <w:t xml:space="preserve"> Ein früher digitaler IBM-Prototyp derselben Linie lag bei 45 </w:t>
      </w:r>
      <w:proofErr w:type="spellStart"/>
      <w:r w:rsidR="007A6E02" w:rsidRPr="007A6E02">
        <w:rPr>
          <w:rFonts w:ascii="Times New Roman" w:hAnsi="Times New Roman" w:cs="Times New Roman"/>
        </w:rPr>
        <w:t>pJ</w:t>
      </w:r>
      <w:proofErr w:type="spellEnd"/>
      <w:r w:rsidR="007A6E02" w:rsidRPr="007A6E02">
        <w:rPr>
          <w:rFonts w:ascii="Times New Roman" w:hAnsi="Times New Roman" w:cs="Times New Roman"/>
        </w:rPr>
        <w:t xml:space="preserve"> pro Spike (Merolla et al., 2011); analoge und Mixed-Signal-Designs stellen dagegen Sub-</w:t>
      </w:r>
      <w:proofErr w:type="spellStart"/>
      <w:r w:rsidR="007A6E02" w:rsidRPr="007A6E02">
        <w:rPr>
          <w:rFonts w:ascii="Times New Roman" w:hAnsi="Times New Roman" w:cs="Times New Roman"/>
        </w:rPr>
        <w:t>pJ</w:t>
      </w:r>
      <w:proofErr w:type="spellEnd"/>
      <w:r w:rsidR="007A6E02" w:rsidRPr="007A6E02">
        <w:rPr>
          <w:rFonts w:ascii="Times New Roman" w:hAnsi="Times New Roman" w:cs="Times New Roman"/>
        </w:rPr>
        <w:t xml:space="preserve">-Werte in Aussicht, sind aber nicht produktreif. Daraus ergibt sich ein Untersuchungsbereich von etwa 0,9 </w:t>
      </w:r>
      <w:proofErr w:type="spellStart"/>
      <w:r w:rsidR="007A6E02" w:rsidRPr="007A6E02">
        <w:rPr>
          <w:rFonts w:ascii="Times New Roman" w:hAnsi="Times New Roman" w:cs="Times New Roman"/>
        </w:rPr>
        <w:t>pJ</w:t>
      </w:r>
      <w:proofErr w:type="spellEnd"/>
      <w:r w:rsidR="007A6E02" w:rsidRPr="007A6E02">
        <w:rPr>
          <w:rFonts w:ascii="Times New Roman" w:hAnsi="Times New Roman" w:cs="Times New Roman"/>
        </w:rPr>
        <w:t xml:space="preserve"> (optimistisches analoges Szenario) bis 45 </w:t>
      </w:r>
      <w:proofErr w:type="spellStart"/>
      <w:r w:rsidR="007A6E02" w:rsidRPr="007A6E02">
        <w:rPr>
          <w:rFonts w:ascii="Times New Roman" w:hAnsi="Times New Roman" w:cs="Times New Roman"/>
        </w:rPr>
        <w:t>pJ</w:t>
      </w:r>
      <w:proofErr w:type="spellEnd"/>
      <w:r w:rsidR="007A6E02" w:rsidRPr="007A6E02">
        <w:rPr>
          <w:rFonts w:ascii="Times New Roman" w:hAnsi="Times New Roman" w:cs="Times New Roman"/>
        </w:rPr>
        <w:t xml:space="preserve"> (früher Prototyp) pro Spike, wobei die belegten Chips </w:t>
      </w:r>
      <w:proofErr w:type="spellStart"/>
      <w:r w:rsidR="007A6E02" w:rsidRPr="007A6E02">
        <w:rPr>
          <w:rFonts w:ascii="Times New Roman" w:hAnsi="Times New Roman" w:cs="Times New Roman"/>
        </w:rPr>
        <w:t>Loihi</w:t>
      </w:r>
      <w:proofErr w:type="spellEnd"/>
      <w:r w:rsidR="007A6E02" w:rsidRPr="007A6E02">
        <w:rPr>
          <w:rFonts w:ascii="Times New Roman" w:hAnsi="Times New Roman" w:cs="Times New Roman"/>
        </w:rPr>
        <w:t xml:space="preserve"> (23,6 </w:t>
      </w:r>
      <w:proofErr w:type="spellStart"/>
      <w:r w:rsidR="007A6E02" w:rsidRPr="007A6E02">
        <w:rPr>
          <w:rFonts w:ascii="Times New Roman" w:hAnsi="Times New Roman" w:cs="Times New Roman"/>
        </w:rPr>
        <w:t>pJ</w:t>
      </w:r>
      <w:proofErr w:type="spellEnd"/>
      <w:r w:rsidR="007A6E02" w:rsidRPr="007A6E02">
        <w:rPr>
          <w:rFonts w:ascii="Times New Roman" w:hAnsi="Times New Roman" w:cs="Times New Roman"/>
        </w:rPr>
        <w:t xml:space="preserve">) und </w:t>
      </w:r>
      <w:proofErr w:type="spellStart"/>
      <w:r w:rsidR="007A6E02" w:rsidRPr="007A6E02">
        <w:rPr>
          <w:rFonts w:ascii="Times New Roman" w:hAnsi="Times New Roman" w:cs="Times New Roman"/>
        </w:rPr>
        <w:t>TrueNorth</w:t>
      </w:r>
      <w:proofErr w:type="spellEnd"/>
      <w:r w:rsidR="007A6E02" w:rsidRPr="007A6E02">
        <w:rPr>
          <w:rFonts w:ascii="Times New Roman" w:hAnsi="Times New Roman" w:cs="Times New Roman"/>
        </w:rPr>
        <w:t xml:space="preserve"> (26 </w:t>
      </w:r>
      <w:proofErr w:type="spellStart"/>
      <w:r w:rsidR="007A6E02" w:rsidRPr="007A6E02">
        <w:rPr>
          <w:rFonts w:ascii="Times New Roman" w:hAnsi="Times New Roman" w:cs="Times New Roman"/>
        </w:rPr>
        <w:t>pJ</w:t>
      </w:r>
      <w:proofErr w:type="spellEnd"/>
      <w:r w:rsidR="007A6E02" w:rsidRPr="007A6E02">
        <w:rPr>
          <w:rFonts w:ascii="Times New Roman" w:hAnsi="Times New Roman" w:cs="Times New Roman"/>
        </w:rPr>
        <w:t>) als Ankerpunkte dienen.</w:t>
      </w:r>
    </w:p>
    <w:p w14:paraId="01414064" w14:textId="0E505D99"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Die Effizienzdebatte ist offen: Befürworter argumentieren mit ereignisgetriebener, spärlicher Berechnung (Roy et al., 2019), während kritische Arbeiten zeigen, dass SNNs auf identischer digitaler Hardware oft nicht effizienter sind (Davidson &amp; Furber, 2021; </w:t>
      </w:r>
      <w:proofErr w:type="spellStart"/>
      <w:r w:rsidRPr="008F4873">
        <w:rPr>
          <w:rFonts w:ascii="Times New Roman" w:hAnsi="Times New Roman" w:cs="Times New Roman"/>
        </w:rPr>
        <w:t>Dampfhoffer</w:t>
      </w:r>
      <w:proofErr w:type="spellEnd"/>
      <w:r w:rsidRPr="008F4873">
        <w:rPr>
          <w:rFonts w:ascii="Times New Roman" w:hAnsi="Times New Roman" w:cs="Times New Roman"/>
        </w:rPr>
        <w:t xml:space="preserve"> et al., 2023) und nur unterhalb bestimmter Spike-Raten gewinnen (Yan et al., 2024). </w:t>
      </w:r>
      <w:proofErr w:type="spellStart"/>
      <w:r w:rsidRPr="008F4873">
        <w:rPr>
          <w:rFonts w:ascii="Times New Roman" w:hAnsi="Times New Roman" w:cs="Times New Roman"/>
        </w:rPr>
        <w:t>Spikende</w:t>
      </w:r>
      <w:proofErr w:type="spellEnd"/>
      <w:r w:rsidRPr="008F4873">
        <w:rPr>
          <w:rFonts w:ascii="Times New Roman" w:hAnsi="Times New Roman" w:cs="Times New Roman"/>
        </w:rPr>
        <w:t xml:space="preserve"> Sprachmodelle wie </w:t>
      </w:r>
      <w:proofErr w:type="spellStart"/>
      <w:r w:rsidRPr="008F4873">
        <w:rPr>
          <w:rFonts w:ascii="Times New Roman" w:hAnsi="Times New Roman" w:cs="Times New Roman"/>
        </w:rPr>
        <w:t>SpikeGPT</w:t>
      </w:r>
      <w:proofErr w:type="spellEnd"/>
      <w:r w:rsidRPr="008F4873">
        <w:rPr>
          <w:rFonts w:ascii="Times New Roman" w:hAnsi="Times New Roman" w:cs="Times New Roman"/>
        </w:rPr>
        <w:t xml:space="preserve">, </w:t>
      </w:r>
      <w:proofErr w:type="spellStart"/>
      <w:r w:rsidRPr="008F4873">
        <w:rPr>
          <w:rFonts w:ascii="Times New Roman" w:hAnsi="Times New Roman" w:cs="Times New Roman"/>
        </w:rPr>
        <w:t>SpikeBERT</w:t>
      </w:r>
      <w:proofErr w:type="spellEnd"/>
      <w:r w:rsidRPr="008F4873">
        <w:rPr>
          <w:rFonts w:ascii="Times New Roman" w:hAnsi="Times New Roman" w:cs="Times New Roman"/>
        </w:rPr>
        <w:t xml:space="preserve"> und </w:t>
      </w:r>
      <w:proofErr w:type="spellStart"/>
      <w:r w:rsidRPr="008F4873">
        <w:rPr>
          <w:rFonts w:ascii="Times New Roman" w:hAnsi="Times New Roman" w:cs="Times New Roman"/>
        </w:rPr>
        <w:t>SpikingBERT</w:t>
      </w:r>
      <w:proofErr w:type="spellEnd"/>
      <w:r w:rsidRPr="008F4873">
        <w:rPr>
          <w:rFonts w:ascii="Times New Roman" w:hAnsi="Times New Roman" w:cs="Times New Roman"/>
        </w:rPr>
        <w:t xml:space="preserve"> (Zhu et al., 2023; </w:t>
      </w:r>
      <w:proofErr w:type="spellStart"/>
      <w:r w:rsidRPr="008F4873">
        <w:rPr>
          <w:rFonts w:ascii="Times New Roman" w:hAnsi="Times New Roman" w:cs="Times New Roman"/>
        </w:rPr>
        <w:t>Lv</w:t>
      </w:r>
      <w:proofErr w:type="spellEnd"/>
      <w:r w:rsidRPr="008F4873">
        <w:rPr>
          <w:rFonts w:ascii="Times New Roman" w:hAnsi="Times New Roman" w:cs="Times New Roman"/>
        </w:rPr>
        <w:t xml:space="preserve"> et al., 2023; </w:t>
      </w:r>
      <w:proofErr w:type="spellStart"/>
      <w:r w:rsidRPr="008F4873">
        <w:rPr>
          <w:rFonts w:ascii="Times New Roman" w:hAnsi="Times New Roman" w:cs="Times New Roman"/>
        </w:rPr>
        <w:t>Bal</w:t>
      </w:r>
      <w:proofErr w:type="spellEnd"/>
      <w:r w:rsidRPr="008F4873">
        <w:rPr>
          <w:rFonts w:ascii="Times New Roman" w:hAnsi="Times New Roman" w:cs="Times New Roman"/>
        </w:rPr>
        <w:t xml:space="preserve"> &amp; Sengupta, 2024) berichten Einsparungen, rechnen diese aber überwiegend gegen FP32-Baselines. Gleichzeitig ist INT8-Quantisierung für Transformer mit minimalem Genauigkeitsverlust etabliert (Zafrir et al., 2019; Kim et al., 2021) und damit die realistische Vergleichsbasis. Als Benchmark dient SST-2 (Socher et al., 2013) aus dem GLUE-Benchmark (Wang et al., 2019) und ist etabliert und klein genug für Modelle im Bereich von 1 bis 5 Mio. Parametern.</w:t>
      </w:r>
    </w:p>
    <w:p w14:paraId="01414065"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Es fehlt bislang eine Arbeit, die für einen etablierten NLP-Benchmark mit größenvergleichbaren, selbst trainierten Modellen den Kipppunkt des SNN-Vorteils als Funktion der Energie pro Spike und der Transformer-Präzision explizit bestimmt und als Entscheidungsinstrument aufbereitet. Genau hier setzt die Arbeit an.</w:t>
      </w:r>
    </w:p>
    <w:p w14:paraId="01414066" w14:textId="3A951B16"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Eigene Vorarbeiten liegen bereits vor: Sechs Modelle (drei SNNs, drei Transformer, 1 bis 5 Mio. Parameter) wurden auf SST-2 trainiert und auf dem Dev-Set evaluiert und erreichen vergleichbare Genauigkeit (rund </w:t>
      </w:r>
      <w:r w:rsidR="00C30412">
        <w:rPr>
          <w:rFonts w:ascii="Times New Roman" w:hAnsi="Times New Roman" w:cs="Times New Roman"/>
        </w:rPr>
        <w:t>79</w:t>
      </w:r>
      <w:r w:rsidRPr="008F4873">
        <w:rPr>
          <w:rFonts w:ascii="Times New Roman" w:hAnsi="Times New Roman" w:cs="Times New Roman"/>
        </w:rPr>
        <w:t xml:space="preserve"> bis 84 %). Das Verhältnis von MACs zu </w:t>
      </w:r>
      <w:proofErr w:type="spellStart"/>
      <w:r w:rsidRPr="008F4873">
        <w:rPr>
          <w:rFonts w:ascii="Times New Roman" w:hAnsi="Times New Roman" w:cs="Times New Roman"/>
        </w:rPr>
        <w:t>SynOps</w:t>
      </w:r>
      <w:proofErr w:type="spellEnd"/>
      <w:r w:rsidRPr="008F4873">
        <w:rPr>
          <w:rFonts w:ascii="Times New Roman" w:hAnsi="Times New Roman" w:cs="Times New Roman"/>
        </w:rPr>
        <w:t xml:space="preserve"> liegt bei parametergleicher Paarung zwischen 32 und 39. Bei 0,9 </w:t>
      </w:r>
      <w:proofErr w:type="spellStart"/>
      <w:r w:rsidRPr="008F4873">
        <w:rPr>
          <w:rFonts w:ascii="Times New Roman" w:hAnsi="Times New Roman" w:cs="Times New Roman"/>
        </w:rPr>
        <w:t>pJ</w:t>
      </w:r>
      <w:proofErr w:type="spellEnd"/>
      <w:r w:rsidRPr="008F4873">
        <w:rPr>
          <w:rFonts w:ascii="Times New Roman" w:hAnsi="Times New Roman" w:cs="Times New Roman"/>
        </w:rPr>
        <w:t xml:space="preserve"> pro Spike ist das kleinste SNN rund 185-mal sparsamer als der FP32-Transformer und noch rund </w:t>
      </w:r>
      <w:r w:rsidR="0063069D">
        <w:rPr>
          <w:rFonts w:ascii="Times New Roman" w:hAnsi="Times New Roman" w:cs="Times New Roman"/>
        </w:rPr>
        <w:t>9</w:t>
      </w:r>
      <w:r w:rsidRPr="008F4873">
        <w:rPr>
          <w:rFonts w:ascii="Times New Roman" w:hAnsi="Times New Roman" w:cs="Times New Roman"/>
        </w:rPr>
        <w:t>-mal sparsamer als der INT8-Transformer; der Kipppunkt gegenüber INT8 liegt bei rund 7 bis 9 pJ</w:t>
      </w:r>
      <w:proofErr w:type="spellStart"/>
      <w:r w:rsidRPr="008F4873">
        <w:rPr>
          <w:rFonts w:ascii="Times New Roman" w:hAnsi="Times New Roman" w:cs="Times New Roman"/>
        </w:rPr>
      </w:r>
      <w:proofErr w:type="spellEnd"/>
      <w:r w:rsidRPr="008F4873">
        <w:rPr>
          <w:rFonts w:ascii="Times New Roman" w:hAnsi="Times New Roman" w:cs="Times New Roman"/>
        </w:rPr>
        <w:t xml:space="preserve"> pro Spike. </w:t>
      </w:r>
      <w:r w:rsidR="001A1BCC" w:rsidRPr="001A1BCC">
        <w:rPr>
          <w:rFonts w:ascii="Times New Roman" w:hAnsi="Times New Roman" w:cs="Times New Roman"/>
        </w:rPr>
        <w:t>Diese Werte stammen aus einem ersten, rein operationsbasierten Durchlauf; die Hauptstudie erweitert das Modell um Speicherzugriffe und Zeitschritte, was den Kipppunkt voraussichtlich nach unten verschiebt, und bereitet die Ergebnisse als Effizienz-Landkarte auf</w:t>
      </w:r>
      <w:r w:rsidRPr="008F4873">
        <w:rPr>
          <w:rFonts w:ascii="Times New Roman" w:hAnsi="Times New Roman" w:cs="Times New Roman"/>
        </w:rPr>
        <w:t>.</w:t>
      </w:r>
    </w:p>
    <w:p w14:paraId="01414067"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t>5 Forschungsdesign und Methode</w:t>
      </w:r>
    </w:p>
    <w:p w14:paraId="01414068" w14:textId="77777777" w:rsidR="00512602" w:rsidRPr="005C7052" w:rsidRDefault="00000000">
      <w:pPr>
        <w:pStyle w:val="Heading2"/>
        <w:rPr>
          <w:rFonts w:ascii="Times New Roman" w:hAnsi="Times New Roman" w:cs="Times New Roman"/>
          <w:sz w:val="28"/>
          <w:szCs w:val="28"/>
        </w:rPr>
      </w:pPr>
      <w:r w:rsidRPr="005C7052">
        <w:rPr>
          <w:rFonts w:ascii="Times New Roman" w:hAnsi="Times New Roman" w:cs="Times New Roman"/>
          <w:sz w:val="28"/>
          <w:szCs w:val="28"/>
        </w:rPr>
        <w:t>5.1 Arbeitsform</w:t>
      </w:r>
    </w:p>
    <w:p w14:paraId="01414069"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lastRenderedPageBreak/>
        <w:t>Gewählt wird die Arbeitsform des datenbasierten Reports (15 bis 20 Seiten): Der Erkenntnisgewinn entsteht aus der systematischen Auswertung eigener quantitativer Messdaten in Verbindung mit einem literaturbasierten Energiemodell. Diese Einordnung ist mit der Betreuung noch zu bestätigen.</w:t>
      </w:r>
    </w:p>
    <w:p w14:paraId="0141406A" w14:textId="77777777" w:rsidR="00512602" w:rsidRPr="005C7052" w:rsidRDefault="00000000">
      <w:pPr>
        <w:pStyle w:val="Heading2"/>
        <w:rPr>
          <w:rFonts w:ascii="Times New Roman" w:hAnsi="Times New Roman" w:cs="Times New Roman"/>
          <w:sz w:val="28"/>
          <w:szCs w:val="28"/>
        </w:rPr>
      </w:pPr>
      <w:r w:rsidRPr="005C7052">
        <w:rPr>
          <w:rFonts w:ascii="Times New Roman" w:hAnsi="Times New Roman" w:cs="Times New Roman"/>
          <w:sz w:val="28"/>
          <w:szCs w:val="28"/>
        </w:rPr>
        <w:t>5.2 Vorgehen</w:t>
      </w:r>
    </w:p>
    <w:p w14:paraId="0141406B" w14:textId="2CAFDC2D"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Das methodische Vorgehen umfasst fünf Schritte. Zunächst werden parametergleiche SNNs und Transformer auf SST-2 trainiert und auf dem Dev-Set evaluiert; dieser Modellvergleich ist bereits abgeschlossen. Anschließend werden die </w:t>
      </w:r>
      <w:proofErr w:type="spellStart"/>
      <w:r w:rsidRPr="008F4873">
        <w:rPr>
          <w:rFonts w:ascii="Times New Roman" w:hAnsi="Times New Roman" w:cs="Times New Roman"/>
        </w:rPr>
        <w:t>SynOps</w:t>
      </w:r>
      <w:proofErr w:type="spellEnd"/>
      <w:r w:rsidRPr="008F4873">
        <w:rPr>
          <w:rFonts w:ascii="Times New Roman" w:hAnsi="Times New Roman" w:cs="Times New Roman"/>
        </w:rPr>
        <w:t xml:space="preserve"> und MACs pro Inferenz gemessen und das Verhältnis R je Paarung bestimmt. </w:t>
      </w:r>
      <w:r w:rsidR="004E2F23" w:rsidRPr="004E2F23">
        <w:rPr>
          <w:rFonts w:ascii="Times New Roman" w:hAnsi="Times New Roman" w:cs="Times New Roman"/>
        </w:rPr>
        <w:t xml:space="preserve">Auf dieser Basis modelliert ein hardwarebewusstes Energiemodell die Energie pro Inferenz nicht nur aus den Rechenoperationen, sondern zusätzlich aus den Speicherzugriffen für Gewichte und Zustände, die beim SNN über alle Zeitschritte anfallen; die Rechenkosten werden nach Horowitz (2014) mit 4,6 </w:t>
      </w:r>
      <w:proofErr w:type="spellStart"/>
      <w:r w:rsidR="004E2F23" w:rsidRPr="004E2F23">
        <w:rPr>
          <w:rFonts w:ascii="Times New Roman" w:hAnsi="Times New Roman" w:cs="Times New Roman"/>
        </w:rPr>
        <w:t>pJ</w:t>
      </w:r>
      <w:proofErr w:type="spellEnd"/>
      <w:r w:rsidR="004E2F23" w:rsidRPr="004E2F23">
        <w:rPr>
          <w:rFonts w:ascii="Times New Roman" w:hAnsi="Times New Roman" w:cs="Times New Roman"/>
        </w:rPr>
        <w:t xml:space="preserve"> pro FP32-MAC und 0,23 </w:t>
      </w:r>
      <w:proofErr w:type="spellStart"/>
      <w:r w:rsidR="004E2F23" w:rsidRPr="004E2F23">
        <w:rPr>
          <w:rFonts w:ascii="Times New Roman" w:hAnsi="Times New Roman" w:cs="Times New Roman"/>
        </w:rPr>
        <w:t>pJ</w:t>
      </w:r>
      <w:proofErr w:type="spellEnd"/>
      <w:r w:rsidR="004E2F23" w:rsidRPr="004E2F23">
        <w:rPr>
          <w:rFonts w:ascii="Times New Roman" w:hAnsi="Times New Roman" w:cs="Times New Roman"/>
        </w:rPr>
        <w:t xml:space="preserve"> pro INT8-MAC auf einem einheitlichen Technologieknoten angesetzt. Für einen fairen Vergleich wird auch das SNN INT8-quantisiert. In der anschließenden Kipppunkt- und Sensitivitätsanalyse werden sowohl die Energie pro Spike über 0,9 bis 45 </w:t>
      </w:r>
      <w:proofErr w:type="spellStart"/>
      <w:r w:rsidR="004E2F23" w:rsidRPr="004E2F23">
        <w:rPr>
          <w:rFonts w:ascii="Times New Roman" w:hAnsi="Times New Roman" w:cs="Times New Roman"/>
        </w:rPr>
        <w:t>pJ</w:t>
      </w:r>
      <w:proofErr w:type="spellEnd"/>
      <w:r w:rsidR="004E2F23" w:rsidRPr="004E2F23">
        <w:rPr>
          <w:rFonts w:ascii="Times New Roman" w:hAnsi="Times New Roman" w:cs="Times New Roman"/>
        </w:rPr>
        <w:t xml:space="preserve"> als auch die Zahl der Zeitschritte variiert; der Kipppunkt wird primär für die Paarung nach gleicher Genauigkeit und ergänzend für die Paarung nach gleicher Parameterzahl berichtet.</w:t>
      </w:r>
      <w:r w:rsidR="004E2F23">
        <w:rPr>
          <w:rFonts w:ascii="Times New Roman" w:hAnsi="Times New Roman" w:cs="Times New Roman"/>
        </w:rPr>
        <w:t xml:space="preserve"> </w:t>
      </w:r>
      <w:r w:rsidRPr="008F4873">
        <w:rPr>
          <w:rFonts w:ascii="Times New Roman" w:hAnsi="Times New Roman" w:cs="Times New Roman"/>
        </w:rPr>
        <w:t xml:space="preserve">Abschließend werden die Ergebnisse als Effizienz-Landkarte über Energie pro Spike und Rechenpräzision visualisiert und dokumentierte Chips wie </w:t>
      </w:r>
      <w:proofErr w:type="spellStart"/>
      <w:r w:rsidRPr="008F4873">
        <w:rPr>
          <w:rFonts w:ascii="Times New Roman" w:hAnsi="Times New Roman" w:cs="Times New Roman"/>
        </w:rPr>
        <w:t>Loihi</w:t>
      </w:r>
      <w:proofErr w:type="spellEnd"/>
      <w:r w:rsidRPr="008F4873">
        <w:rPr>
          <w:rFonts w:ascii="Times New Roman" w:hAnsi="Times New Roman" w:cs="Times New Roman"/>
        </w:rPr>
        <w:t xml:space="preserve"> und </w:t>
      </w:r>
      <w:proofErr w:type="spellStart"/>
      <w:r w:rsidRPr="008F4873">
        <w:rPr>
          <w:rFonts w:ascii="Times New Roman" w:hAnsi="Times New Roman" w:cs="Times New Roman"/>
        </w:rPr>
        <w:t>TrueNorth</w:t>
      </w:r>
      <w:proofErr w:type="spellEnd"/>
      <w:r w:rsidRPr="008F4873">
        <w:rPr>
          <w:rFonts w:ascii="Times New Roman" w:hAnsi="Times New Roman" w:cs="Times New Roman"/>
        </w:rPr>
        <w:t xml:space="preserve"> darin verortet.</w:t>
      </w:r>
    </w:p>
    <w:p w14:paraId="0141406C" w14:textId="77777777" w:rsidR="00512602" w:rsidRPr="005C7052" w:rsidRDefault="00000000">
      <w:pPr>
        <w:pStyle w:val="Heading2"/>
        <w:rPr>
          <w:rFonts w:ascii="Times New Roman" w:hAnsi="Times New Roman" w:cs="Times New Roman"/>
          <w:sz w:val="28"/>
          <w:szCs w:val="28"/>
        </w:rPr>
      </w:pPr>
      <w:r w:rsidRPr="005C7052">
        <w:rPr>
          <w:rFonts w:ascii="Times New Roman" w:hAnsi="Times New Roman" w:cs="Times New Roman"/>
          <w:sz w:val="28"/>
          <w:szCs w:val="28"/>
        </w:rPr>
        <w:t>5.3 Annahmen und Grenzen</w:t>
      </w:r>
    </w:p>
    <w:p w14:paraId="0141406D" w14:textId="1E0755CC" w:rsidR="00512602" w:rsidRPr="008F4873" w:rsidRDefault="001A1BCC">
      <w:pPr>
        <w:spacing w:after="120" w:line="360" w:lineRule="auto"/>
        <w:jc w:val="both"/>
        <w:rPr>
          <w:rFonts w:ascii="Times New Roman" w:hAnsi="Times New Roman" w:cs="Times New Roman"/>
        </w:rPr>
      </w:pPr>
      <w:r w:rsidRPr="001A1BCC">
        <w:rPr>
          <w:rFonts w:ascii="Times New Roman" w:hAnsi="Times New Roman" w:cs="Times New Roman"/>
        </w:rPr>
        <w:t>Auch das hardwarebewusste Energiemodell bleibt eine Abschätzung: Es stützt sich auf publizierte Energiewerte pro Operation und pro Speicherzugriff eines Technologieknotens, nicht auf Messungen realer Chips. Weitere Grenzen, etwa die Beschränkung auf ein bis zwei Aufgaben, kleine Modelle und eine analytische statt gemessene Energieprojektion, werden im Report transparent offengelegt</w:t>
      </w:r>
      <w:r w:rsidR="00000000" w:rsidRPr="008F4873">
        <w:rPr>
          <w:rFonts w:ascii="Times New Roman" w:hAnsi="Times New Roman" w:cs="Times New Roman"/>
        </w:rPr>
        <w:t>.</w:t>
      </w:r>
    </w:p>
    <w:p w14:paraId="0141406E"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t>6 Praktischer Nutzen</w:t>
      </w:r>
    </w:p>
    <w:p w14:paraId="0141406F"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Die Arbeit liefert eine Entscheidungsgrundlage für energie- und kosteneffizientes </w:t>
      </w:r>
      <w:proofErr w:type="spellStart"/>
      <w:r w:rsidRPr="008F4873">
        <w:rPr>
          <w:rFonts w:ascii="Times New Roman" w:hAnsi="Times New Roman" w:cs="Times New Roman"/>
        </w:rPr>
        <w:t>Deployment</w:t>
      </w:r>
      <w:proofErr w:type="spellEnd"/>
      <w:r w:rsidRPr="008F4873">
        <w:rPr>
          <w:rFonts w:ascii="Times New Roman" w:hAnsi="Times New Roman" w:cs="Times New Roman"/>
        </w:rPr>
        <w:t xml:space="preserve"> von NLP-Modellen. Mit der Effizienz-Landkarte können ML- und Plattform-Teams für gegebene Zielhardware ablesen, ob sich ein SNN gegenüber einem INT8-Transformer lohnt, statt einem pauschalen Versprechen zu folgen; für Hardware- und Investitionsent</w:t>
      </w:r>
      <w:r w:rsidRPr="008F4873">
        <w:rPr>
          <w:rFonts w:ascii="Times New Roman" w:hAnsi="Times New Roman" w:cs="Times New Roman"/>
        </w:rPr>
        <w:t>scheidungen liefert der Kipppunkt (rund 7 bis 9 pJ</w:t>
      </w:r>
      <w:proofErr w:type="spellStart"/>
      <w:r w:rsidRPr="008F4873">
        <w:rPr>
          <w:rFonts w:ascii="Times New Roman" w:hAnsi="Times New Roman" w:cs="Times New Roman"/>
        </w:rPr>
      </w:r>
      <w:proofErr w:type="spellEnd"/>
      <w:r w:rsidRPr="008F4873">
        <w:rPr>
          <w:rFonts w:ascii="Times New Roman" w:hAnsi="Times New Roman" w:cs="Times New Roman"/>
        </w:rPr>
        <w:t xml:space="preserve"> pro Spike) eine konkrete Anforderungsgröße an </w:t>
      </w:r>
      <w:proofErr w:type="spellStart"/>
      <w:r w:rsidRPr="008F4873">
        <w:rPr>
          <w:rFonts w:ascii="Times New Roman" w:hAnsi="Times New Roman" w:cs="Times New Roman"/>
        </w:rPr>
        <w:t>neuromorphe</w:t>
      </w:r>
      <w:proofErr w:type="spellEnd"/>
      <w:r w:rsidRPr="008F4873">
        <w:rPr>
          <w:rFonts w:ascii="Times New Roman" w:hAnsi="Times New Roman" w:cs="Times New Roman"/>
        </w:rPr>
        <w:t xml:space="preserve"> Beschaffung. Für Green-AI- und Nachhaltigkeitsberichte bietet die Methodik zudem ein transparentes, reproduzierbares Schema, um Energieaussagen über Architekturen hinweg zu prüfen, und trägt zu einer faireren Bewertung von SNNs gegenüber dem realistischen Stand der Technik bei.</w:t>
      </w:r>
    </w:p>
    <w:p w14:paraId="01414070"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t>7 Grobgliederung der Arbeit</w:t>
      </w:r>
    </w:p>
    <w:p w14:paraId="01414071" w14:textId="77777777" w:rsidR="00512602" w:rsidRPr="008F4873" w:rsidRDefault="00000000">
      <w:pPr>
        <w:spacing w:after="120" w:line="360" w:lineRule="auto"/>
        <w:jc w:val="both"/>
        <w:rPr>
          <w:rFonts w:ascii="Times New Roman" w:hAnsi="Times New Roman" w:cs="Times New Roman"/>
        </w:rPr>
      </w:pPr>
      <w:r w:rsidRPr="008F4873">
        <w:rPr>
          <w:rFonts w:ascii="Times New Roman" w:hAnsi="Times New Roman" w:cs="Times New Roman"/>
        </w:rPr>
        <w:t xml:space="preserve">Die Arbeit gliedert sich in sechs Kapitel. Die Einleitung führt Problemstellung, Relevanz, Forschungsfrage und Aufbau ein. Das Kapitel Grundlagen und Forschungsstand behandelt SNNs und Transformer, Energiemodelle, </w:t>
      </w:r>
      <w:proofErr w:type="spellStart"/>
      <w:r w:rsidRPr="008F4873">
        <w:rPr>
          <w:rFonts w:ascii="Times New Roman" w:hAnsi="Times New Roman" w:cs="Times New Roman"/>
        </w:rPr>
        <w:t>neuromorphe</w:t>
      </w:r>
      <w:proofErr w:type="spellEnd"/>
      <w:r w:rsidRPr="008F4873">
        <w:rPr>
          <w:rFonts w:ascii="Times New Roman" w:hAnsi="Times New Roman" w:cs="Times New Roman"/>
        </w:rPr>
        <w:t xml:space="preserve"> Hardware, die Effizienzdebatte und die Quantisierung. Das Methodenkapitel beschreibt Datensatz, Modelle, </w:t>
      </w:r>
      <w:proofErr w:type="spellStart"/>
      <w:r w:rsidRPr="008F4873">
        <w:rPr>
          <w:rFonts w:ascii="Times New Roman" w:hAnsi="Times New Roman" w:cs="Times New Roman"/>
        </w:rPr>
        <w:t>Operationsmetriken</w:t>
      </w:r>
      <w:proofErr w:type="spellEnd"/>
      <w:r w:rsidRPr="008F4873">
        <w:rPr>
          <w:rFonts w:ascii="Times New Roman" w:hAnsi="Times New Roman" w:cs="Times New Roman"/>
        </w:rPr>
        <w:t xml:space="preserve">, Energiemodell sowie Kipppunkt- und Sensitivitätsanalyse. Das Ergebniskapitel stellt Klassifikationsgüte, Operationszahlen, Kipppunkte und die Effizienz-Landkarte dar. Die Diskussion ordnet die Ergebnisse in die Literatur ein und behandelt Paarungsstrategien, Limitationen und Implikationen für </w:t>
      </w:r>
      <w:proofErr w:type="spellStart"/>
      <w:r w:rsidRPr="008F4873">
        <w:rPr>
          <w:rFonts w:ascii="Times New Roman" w:hAnsi="Times New Roman" w:cs="Times New Roman"/>
        </w:rPr>
        <w:t>Deployment</w:t>
      </w:r>
      <w:proofErr w:type="spellEnd"/>
      <w:r w:rsidRPr="008F4873">
        <w:rPr>
          <w:rFonts w:ascii="Times New Roman" w:hAnsi="Times New Roman" w:cs="Times New Roman"/>
        </w:rPr>
        <w:t>-Entscheidungen. Den Abschluss bilden Fazit und Ausblick.</w:t>
      </w:r>
    </w:p>
    <w:p w14:paraId="01414072"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t>8 Zeitplan</w:t>
      </w:r>
    </w:p>
    <w:p w14:paraId="01414073" w14:textId="69509A1C" w:rsidR="001B1EC9" w:rsidRDefault="00000000">
      <w:pPr>
        <w:spacing w:after="120" w:line="360" w:lineRule="auto"/>
        <w:jc w:val="both"/>
        <w:rPr>
          <w:rFonts w:ascii="Times New Roman" w:hAnsi="Times New Roman" w:cs="Times New Roman"/>
        </w:rPr>
      </w:pPr>
      <w:r w:rsidRPr="008F4873">
        <w:rPr>
          <w:rFonts w:ascii="Times New Roman" w:hAnsi="Times New Roman" w:cs="Times New Roman"/>
        </w:rPr>
        <w:t>Nach Abstimmung des Konzepts mit der Betreuung ist für die Bearbeitung ein Zeitraum von zwölf Wochen vorgesehen: Literaturvertiefung und Grundlagenkapitel (Wochen 1 bis 2), Konsolidierung der Experimente sowie Sensitivitäts- und Kipppunktanalysen inklusive Effizienz-Landkarte (Wochen 3 bis 5), Ergebnis- und Methodenkapitel (Wochen 6 bis 8), Einleitung, Diskussion und Fazit sowie Gesamtrevision (Wochen 9 bis 11) und ein Puffer für Endkorrektur und Abgabe (Woche 12). Die konkreten Termine werden an die Fristen der DBU angepasst.</w:t>
      </w:r>
    </w:p>
    <w:p w14:paraId="5B4E639E" w14:textId="3DAEDEC4" w:rsidR="00512602" w:rsidRPr="008F4873" w:rsidRDefault="001B1EC9" w:rsidP="001B1EC9">
      <w:pPr>
        <w:rPr>
          <w:rFonts w:ascii="Times New Roman" w:hAnsi="Times New Roman" w:cs="Times New Roman"/>
        </w:rPr>
      </w:pPr>
      <w:r>
        <w:rPr>
          <w:rFonts w:ascii="Times New Roman" w:hAnsi="Times New Roman" w:cs="Times New Roman"/>
        </w:rPr>
        <w:br w:type="page"/>
      </w:r>
    </w:p>
    <w:p w14:paraId="01414074" w14:textId="77777777" w:rsidR="00512602" w:rsidRPr="005C7052" w:rsidRDefault="00000000">
      <w:pPr>
        <w:pStyle w:val="Heading1"/>
        <w:rPr>
          <w:rFonts w:ascii="Times New Roman" w:hAnsi="Times New Roman" w:cs="Times New Roman"/>
          <w:sz w:val="36"/>
          <w:szCs w:val="36"/>
        </w:rPr>
      </w:pPr>
      <w:r w:rsidRPr="005C7052">
        <w:rPr>
          <w:rFonts w:ascii="Times New Roman" w:hAnsi="Times New Roman" w:cs="Times New Roman"/>
          <w:sz w:val="32"/>
          <w:szCs w:val="32"/>
        </w:rPr>
        <w:lastRenderedPageBreak/>
        <w:t>Quellenverzeichnis</w:t>
      </w:r>
    </w:p>
    <w:p w14:paraId="01414075" w14:textId="77777777" w:rsidR="00512602" w:rsidRPr="008F4873" w:rsidRDefault="00000000">
      <w:pPr>
        <w:spacing w:after="80" w:line="360" w:lineRule="auto"/>
        <w:ind w:left="480" w:hanging="480"/>
        <w:jc w:val="both"/>
        <w:rPr>
          <w:rFonts w:ascii="Times New Roman" w:hAnsi="Times New Roman" w:cs="Times New Roman"/>
          <w:lang w:val="en-US"/>
        </w:rPr>
      </w:pPr>
      <w:proofErr w:type="spellStart"/>
      <w:r w:rsidRPr="008F4873">
        <w:rPr>
          <w:rFonts w:ascii="Times New Roman" w:hAnsi="Times New Roman" w:cs="Times New Roman"/>
        </w:rPr>
        <w:t>Bal</w:t>
      </w:r>
      <w:proofErr w:type="spellEnd"/>
      <w:r w:rsidRPr="008F4873">
        <w:rPr>
          <w:rFonts w:ascii="Times New Roman" w:hAnsi="Times New Roman" w:cs="Times New Roman"/>
        </w:rPr>
        <w:t xml:space="preserve">, M., &amp; Sengupta, A. (2024). </w:t>
      </w:r>
      <w:proofErr w:type="spellStart"/>
      <w:r w:rsidRPr="008F4873">
        <w:rPr>
          <w:rFonts w:ascii="Times New Roman" w:hAnsi="Times New Roman" w:cs="Times New Roman"/>
          <w:lang w:val="en-US"/>
        </w:rPr>
        <w:t>SpikingBERT</w:t>
      </w:r>
      <w:proofErr w:type="spellEnd"/>
      <w:r w:rsidRPr="008F4873">
        <w:rPr>
          <w:rFonts w:ascii="Times New Roman" w:hAnsi="Times New Roman" w:cs="Times New Roman"/>
          <w:lang w:val="en-US"/>
        </w:rPr>
        <w:t>: Distilling BERT to train spiking language models using implicit differentiation. Proceedings of the AAAI Conference on Artificial Intelligence, 38(10), 10998-11006.</w:t>
      </w:r>
    </w:p>
    <w:p w14:paraId="01414076" w14:textId="77777777" w:rsidR="00512602" w:rsidRPr="008F4873" w:rsidRDefault="00000000">
      <w:pPr>
        <w:spacing w:after="80" w:line="360" w:lineRule="auto"/>
        <w:ind w:left="480" w:hanging="480"/>
        <w:jc w:val="both"/>
        <w:rPr>
          <w:rFonts w:ascii="Times New Roman" w:hAnsi="Times New Roman" w:cs="Times New Roman"/>
          <w:lang w:val="en-US"/>
        </w:rPr>
      </w:pPr>
      <w:proofErr w:type="spellStart"/>
      <w:r w:rsidRPr="008F4873">
        <w:rPr>
          <w:rFonts w:ascii="Times New Roman" w:hAnsi="Times New Roman" w:cs="Times New Roman"/>
          <w:lang w:val="en-US"/>
        </w:rPr>
        <w:t>Dampfhoffer</w:t>
      </w:r>
      <w:proofErr w:type="spellEnd"/>
      <w:r w:rsidRPr="008F4873">
        <w:rPr>
          <w:rFonts w:ascii="Times New Roman" w:hAnsi="Times New Roman" w:cs="Times New Roman"/>
          <w:lang w:val="en-US"/>
        </w:rPr>
        <w:t xml:space="preserve">, M., Mesquida, T., </w:t>
      </w:r>
      <w:proofErr w:type="spellStart"/>
      <w:r w:rsidRPr="008F4873">
        <w:rPr>
          <w:rFonts w:ascii="Times New Roman" w:hAnsi="Times New Roman" w:cs="Times New Roman"/>
          <w:lang w:val="en-US"/>
        </w:rPr>
        <w:t>Valentian</w:t>
      </w:r>
      <w:proofErr w:type="spellEnd"/>
      <w:r w:rsidRPr="008F4873">
        <w:rPr>
          <w:rFonts w:ascii="Times New Roman" w:hAnsi="Times New Roman" w:cs="Times New Roman"/>
          <w:lang w:val="en-US"/>
        </w:rPr>
        <w:t xml:space="preserve">, A., &amp; Anghel, L. (2023). Are SNNs </w:t>
      </w:r>
      <w:proofErr w:type="gramStart"/>
      <w:r w:rsidRPr="008F4873">
        <w:rPr>
          <w:rFonts w:ascii="Times New Roman" w:hAnsi="Times New Roman" w:cs="Times New Roman"/>
          <w:lang w:val="en-US"/>
        </w:rPr>
        <w:t>really more</w:t>
      </w:r>
      <w:proofErr w:type="gramEnd"/>
      <w:r w:rsidRPr="008F4873">
        <w:rPr>
          <w:rFonts w:ascii="Times New Roman" w:hAnsi="Times New Roman" w:cs="Times New Roman"/>
          <w:lang w:val="en-US"/>
        </w:rPr>
        <w:t xml:space="preserve"> energy-efficient than ANNs? An in-depth hardware-aware study. IEEE Transactions on Emerging Topics in Computational Intelligence, 7(3), 731-741.</w:t>
      </w:r>
    </w:p>
    <w:p w14:paraId="01414077" w14:textId="77777777" w:rsidR="00512602" w:rsidRPr="008F4873" w:rsidRDefault="00000000">
      <w:pPr>
        <w:spacing w:after="80" w:line="360" w:lineRule="auto"/>
        <w:ind w:left="480" w:hanging="480"/>
        <w:jc w:val="both"/>
        <w:rPr>
          <w:rFonts w:ascii="Times New Roman" w:hAnsi="Times New Roman" w:cs="Times New Roman"/>
        </w:rPr>
      </w:pPr>
      <w:r w:rsidRPr="008F4873">
        <w:rPr>
          <w:rFonts w:ascii="Times New Roman" w:hAnsi="Times New Roman" w:cs="Times New Roman"/>
          <w:lang w:val="en-US"/>
        </w:rPr>
        <w:t xml:space="preserve">Davidson, S., &amp; Furber, S. B. (2021). Comparison of artificial and spiking neural networks on digital hardware. </w:t>
      </w:r>
      <w:r w:rsidRPr="008F4873">
        <w:rPr>
          <w:rFonts w:ascii="Times New Roman" w:hAnsi="Times New Roman" w:cs="Times New Roman"/>
        </w:rPr>
        <w:t xml:space="preserve">Frontiers in </w:t>
      </w:r>
      <w:proofErr w:type="spellStart"/>
      <w:r w:rsidRPr="008F4873">
        <w:rPr>
          <w:rFonts w:ascii="Times New Roman" w:hAnsi="Times New Roman" w:cs="Times New Roman"/>
        </w:rPr>
        <w:t>Neuroscience</w:t>
      </w:r>
      <w:proofErr w:type="spellEnd"/>
      <w:r w:rsidRPr="008F4873">
        <w:rPr>
          <w:rFonts w:ascii="Times New Roman" w:hAnsi="Times New Roman" w:cs="Times New Roman"/>
        </w:rPr>
        <w:t>, 15, 651141.</w:t>
      </w:r>
    </w:p>
    <w:p w14:paraId="01414078"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rPr>
        <w:t xml:space="preserve">Davies, M., Srinivasa, N., Lin, T.-H., Chinya, G., Cao, Y., Choday, S. H., ... Wang, H. (2018). </w:t>
      </w:r>
      <w:proofErr w:type="spellStart"/>
      <w:r w:rsidRPr="008F4873">
        <w:rPr>
          <w:rFonts w:ascii="Times New Roman" w:hAnsi="Times New Roman" w:cs="Times New Roman"/>
          <w:lang w:val="en-US"/>
        </w:rPr>
        <w:t>Loihi</w:t>
      </w:r>
      <w:proofErr w:type="spellEnd"/>
      <w:r w:rsidRPr="008F4873">
        <w:rPr>
          <w:rFonts w:ascii="Times New Roman" w:hAnsi="Times New Roman" w:cs="Times New Roman"/>
          <w:lang w:val="en-US"/>
        </w:rPr>
        <w:t>: A neuromorphic manycore processor with on-chip learning. IEEE Micro, 38(1), 82-99.</w:t>
      </w:r>
    </w:p>
    <w:p w14:paraId="01414079"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Horowitz, M. (2014). 1.1 Computing's energy problem (and what we can do about it). 2014 IEEE International Solid-State Circuits Conference (ISSCC), 10-14.</w:t>
      </w:r>
    </w:p>
    <w:p w14:paraId="0141407A"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 xml:space="preserve">Kim, S., Gholami, A., Yao, Z., Mahoney, M. W., &amp; Keutzer, K. (2021). I-BERT: Integer-only BERT </w:t>
      </w:r>
      <w:proofErr w:type="gramStart"/>
      <w:r w:rsidRPr="008F4873">
        <w:rPr>
          <w:rFonts w:ascii="Times New Roman" w:hAnsi="Times New Roman" w:cs="Times New Roman"/>
          <w:lang w:val="en-US"/>
        </w:rPr>
        <w:t>quantization</w:t>
      </w:r>
      <w:proofErr w:type="gramEnd"/>
      <w:r w:rsidRPr="008F4873">
        <w:rPr>
          <w:rFonts w:ascii="Times New Roman" w:hAnsi="Times New Roman" w:cs="Times New Roman"/>
          <w:lang w:val="en-US"/>
        </w:rPr>
        <w:t>. Proceedings of the 38th International Conference on Machine Learning (ICML), PMLR 139, 5506-5518.</w:t>
      </w:r>
    </w:p>
    <w:p w14:paraId="0141407B"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fr-BE"/>
        </w:rPr>
        <w:t xml:space="preserve">Lemaire, E., Cordone, L., Castagnetti, A., Novac, P.-E., Courtois, J., &amp; </w:t>
      </w:r>
      <w:proofErr w:type="spellStart"/>
      <w:r w:rsidRPr="008F4873">
        <w:rPr>
          <w:rFonts w:ascii="Times New Roman" w:hAnsi="Times New Roman" w:cs="Times New Roman"/>
          <w:lang w:val="fr-BE"/>
        </w:rPr>
        <w:t>Miramond</w:t>
      </w:r>
      <w:proofErr w:type="spellEnd"/>
      <w:r w:rsidRPr="008F4873">
        <w:rPr>
          <w:rFonts w:ascii="Times New Roman" w:hAnsi="Times New Roman" w:cs="Times New Roman"/>
          <w:lang w:val="fr-BE"/>
        </w:rPr>
        <w:t xml:space="preserve">, B. (2022). </w:t>
      </w:r>
      <w:r w:rsidRPr="008F4873">
        <w:rPr>
          <w:rFonts w:ascii="Times New Roman" w:hAnsi="Times New Roman" w:cs="Times New Roman"/>
          <w:lang w:val="en-US"/>
        </w:rPr>
        <w:t>An analytical estimation of spiking neural networks energy efficiency. In Neural Information Processing (ICONIP 2022). Springer.</w:t>
      </w:r>
    </w:p>
    <w:p w14:paraId="0141407C" w14:textId="77777777" w:rsidR="00512602" w:rsidRDefault="00000000">
      <w:pPr>
        <w:spacing w:after="80" w:line="360" w:lineRule="auto"/>
        <w:ind w:left="480" w:hanging="480"/>
        <w:jc w:val="both"/>
        <w:rPr>
          <w:rFonts w:ascii="Times New Roman" w:hAnsi="Times New Roman" w:cs="Times New Roman"/>
          <w:lang w:val="en-US"/>
        </w:rPr>
      </w:pPr>
      <w:proofErr w:type="spellStart"/>
      <w:r w:rsidRPr="008F4873">
        <w:rPr>
          <w:rFonts w:ascii="Times New Roman" w:hAnsi="Times New Roman" w:cs="Times New Roman"/>
          <w:lang w:val="en-US"/>
        </w:rPr>
        <w:t>Lv</w:t>
      </w:r>
      <w:proofErr w:type="spellEnd"/>
      <w:r w:rsidRPr="008F4873">
        <w:rPr>
          <w:rFonts w:ascii="Times New Roman" w:hAnsi="Times New Roman" w:cs="Times New Roman"/>
          <w:lang w:val="en-US"/>
        </w:rPr>
        <w:t xml:space="preserve">, C., Li, T., Xu, J., Gu, C., </w:t>
      </w:r>
      <w:proofErr w:type="gramStart"/>
      <w:r w:rsidRPr="008F4873">
        <w:rPr>
          <w:rFonts w:ascii="Times New Roman" w:hAnsi="Times New Roman" w:cs="Times New Roman"/>
          <w:lang w:val="en-US"/>
        </w:rPr>
        <w:t>Ling, Z.</w:t>
      </w:r>
      <w:proofErr w:type="gramEnd"/>
      <w:r w:rsidRPr="008F4873">
        <w:rPr>
          <w:rFonts w:ascii="Times New Roman" w:hAnsi="Times New Roman" w:cs="Times New Roman"/>
          <w:lang w:val="en-US"/>
        </w:rPr>
        <w:t xml:space="preserve">, Zhang, C., Zheng, X., &amp; Huang, X. (2023). </w:t>
      </w:r>
      <w:proofErr w:type="spellStart"/>
      <w:r w:rsidRPr="008F4873">
        <w:rPr>
          <w:rFonts w:ascii="Times New Roman" w:hAnsi="Times New Roman" w:cs="Times New Roman"/>
          <w:lang w:val="en-US"/>
        </w:rPr>
        <w:t>SpikeBERT</w:t>
      </w:r>
      <w:proofErr w:type="spellEnd"/>
      <w:r w:rsidRPr="008F4873">
        <w:rPr>
          <w:rFonts w:ascii="Times New Roman" w:hAnsi="Times New Roman" w:cs="Times New Roman"/>
          <w:lang w:val="en-US"/>
        </w:rPr>
        <w:t xml:space="preserve">: A language </w:t>
      </w:r>
      <w:proofErr w:type="spellStart"/>
      <w:r w:rsidRPr="008F4873">
        <w:rPr>
          <w:rFonts w:ascii="Times New Roman" w:hAnsi="Times New Roman" w:cs="Times New Roman"/>
          <w:lang w:val="en-US"/>
        </w:rPr>
        <w:t>Spikformer</w:t>
      </w:r>
      <w:proofErr w:type="spellEnd"/>
      <w:r w:rsidRPr="008F4873">
        <w:rPr>
          <w:rFonts w:ascii="Times New Roman" w:hAnsi="Times New Roman" w:cs="Times New Roman"/>
          <w:lang w:val="en-US"/>
        </w:rPr>
        <w:t xml:space="preserve"> learned from BERT with knowledge distillation. arXiv:2308.15122.</w:t>
      </w:r>
    </w:p>
    <w:p w14:paraId="5A10D154" w14:textId="112B2886" w:rsidR="00AA2BFA" w:rsidRPr="008F4873" w:rsidRDefault="00AA2BFA">
      <w:pPr>
        <w:spacing w:after="80" w:line="360" w:lineRule="auto"/>
        <w:ind w:left="480" w:hanging="480"/>
        <w:jc w:val="both"/>
        <w:rPr>
          <w:rFonts w:ascii="Times New Roman" w:hAnsi="Times New Roman" w:cs="Times New Roman"/>
          <w:lang w:val="en-US"/>
        </w:rPr>
      </w:pPr>
      <w:r w:rsidRPr="00AA2BFA">
        <w:rPr>
          <w:rFonts w:ascii="Times New Roman" w:hAnsi="Times New Roman" w:cs="Times New Roman"/>
          <w:lang w:val="en-US"/>
        </w:rPr>
        <w:t xml:space="preserve">Merolla, P., Arthur, J., Akopyan, F., Imam, N., Manohar, R., &amp; Modha, D. S. (2011). A digital neurosynaptic core using embedded crossbar memory with 45pJ per spike in 45nm. </w:t>
      </w:r>
      <w:r w:rsidRPr="00AA2BFA">
        <w:rPr>
          <w:rFonts w:ascii="Times New Roman" w:hAnsi="Times New Roman" w:cs="Times New Roman"/>
        </w:rPr>
        <w:t xml:space="preserve">2011 IEEE Custom Integrated </w:t>
      </w:r>
      <w:proofErr w:type="spellStart"/>
      <w:r w:rsidRPr="00AA2BFA">
        <w:rPr>
          <w:rFonts w:ascii="Times New Roman" w:hAnsi="Times New Roman" w:cs="Times New Roman"/>
        </w:rPr>
        <w:t>Circuits</w:t>
      </w:r>
      <w:proofErr w:type="spellEnd"/>
      <w:r w:rsidRPr="00AA2BFA">
        <w:rPr>
          <w:rFonts w:ascii="Times New Roman" w:hAnsi="Times New Roman" w:cs="Times New Roman"/>
        </w:rPr>
        <w:t xml:space="preserve"> Conference (CICC), 1-4.</w:t>
      </w:r>
    </w:p>
    <w:p w14:paraId="0141407D"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 xml:space="preserve">Merolla, P. A., Arthur, J. V., Alvarez-Icaza, R., Cassidy, A. S., Sawada, J., Akopyan, F., ... </w:t>
      </w:r>
      <w:r w:rsidRPr="008F4873">
        <w:rPr>
          <w:rFonts w:ascii="Times New Roman" w:hAnsi="Times New Roman" w:cs="Times New Roman"/>
        </w:rPr>
        <w:t xml:space="preserve">Modha, D. S. (2014). </w:t>
      </w:r>
      <w:r w:rsidRPr="008F4873">
        <w:rPr>
          <w:rFonts w:ascii="Times New Roman" w:hAnsi="Times New Roman" w:cs="Times New Roman"/>
          <w:lang w:val="en-US"/>
        </w:rPr>
        <w:t>A million spiking-neuron integrated circuit with a scalable communication network and interface. Science, 345(6197), 668-673.</w:t>
      </w:r>
    </w:p>
    <w:p w14:paraId="0141407E"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 xml:space="preserve">Orchard, G., Frady, E. P., Rubin, D. B. D., Sanborn, S., Shrestha, S. B., Sommer, F. T., &amp; Davies, M. (2021). Efficient neuromorphic signal processing with </w:t>
      </w:r>
      <w:proofErr w:type="spellStart"/>
      <w:r w:rsidRPr="008F4873">
        <w:rPr>
          <w:rFonts w:ascii="Times New Roman" w:hAnsi="Times New Roman" w:cs="Times New Roman"/>
          <w:lang w:val="en-US"/>
        </w:rPr>
        <w:t>Loihi</w:t>
      </w:r>
      <w:proofErr w:type="spellEnd"/>
      <w:r w:rsidRPr="008F4873">
        <w:rPr>
          <w:rFonts w:ascii="Times New Roman" w:hAnsi="Times New Roman" w:cs="Times New Roman"/>
          <w:lang w:val="en-US"/>
        </w:rPr>
        <w:t xml:space="preserve"> 2. 2021 IEEE Workshop on Signal Processing Systems (</w:t>
      </w:r>
      <w:proofErr w:type="spellStart"/>
      <w:r w:rsidRPr="008F4873">
        <w:rPr>
          <w:rFonts w:ascii="Times New Roman" w:hAnsi="Times New Roman" w:cs="Times New Roman"/>
          <w:lang w:val="en-US"/>
        </w:rPr>
        <w:t>SiPS</w:t>
      </w:r>
      <w:proofErr w:type="spellEnd"/>
      <w:r w:rsidRPr="008F4873">
        <w:rPr>
          <w:rFonts w:ascii="Times New Roman" w:hAnsi="Times New Roman" w:cs="Times New Roman"/>
          <w:lang w:val="en-US"/>
        </w:rPr>
        <w:t>), 254-259.</w:t>
      </w:r>
    </w:p>
    <w:p w14:paraId="0141407F"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lastRenderedPageBreak/>
        <w:t>Patterson, D., Gonzalez, J., Le, Q., Liang, C., Munguia, L.-M., Rothchild, D., So, D., Texier, M., &amp; Dean, J. (2021). Carbon emissions and large neural network training. arXiv:2104.10350.</w:t>
      </w:r>
    </w:p>
    <w:p w14:paraId="01414080"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Roy, K., Jaiswal, A., &amp; Panda, P. (2019). Towards spike-based machine intelligence with neuromorphic computing. Nature, 575(7784), 607-617.</w:t>
      </w:r>
    </w:p>
    <w:p w14:paraId="01414081"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 xml:space="preserve">Socher, R., </w:t>
      </w:r>
      <w:proofErr w:type="spellStart"/>
      <w:r w:rsidRPr="008F4873">
        <w:rPr>
          <w:rFonts w:ascii="Times New Roman" w:hAnsi="Times New Roman" w:cs="Times New Roman"/>
          <w:lang w:val="en-US"/>
        </w:rPr>
        <w:t>Perelygin</w:t>
      </w:r>
      <w:proofErr w:type="spellEnd"/>
      <w:r w:rsidRPr="008F4873">
        <w:rPr>
          <w:rFonts w:ascii="Times New Roman" w:hAnsi="Times New Roman" w:cs="Times New Roman"/>
          <w:lang w:val="en-US"/>
        </w:rPr>
        <w:t>, A., Wu, J., Chuang, J., Manning, C. D., Ng, A., &amp; Potts, C. (2013). Recursive deep models for semantic compositionality over a sentiment treebank. Proceedings of EMNLP 2013, 1631-1642.</w:t>
      </w:r>
    </w:p>
    <w:p w14:paraId="01414082" w14:textId="77777777" w:rsidR="00512602" w:rsidRPr="008F4873" w:rsidRDefault="00000000">
      <w:pPr>
        <w:spacing w:after="80" w:line="360" w:lineRule="auto"/>
        <w:ind w:left="480" w:hanging="480"/>
        <w:jc w:val="both"/>
        <w:rPr>
          <w:rFonts w:ascii="Times New Roman" w:hAnsi="Times New Roman" w:cs="Times New Roman"/>
          <w:lang w:val="en-US"/>
        </w:rPr>
      </w:pPr>
      <w:proofErr w:type="spellStart"/>
      <w:r w:rsidRPr="008F4873">
        <w:rPr>
          <w:rFonts w:ascii="Times New Roman" w:hAnsi="Times New Roman" w:cs="Times New Roman"/>
          <w:lang w:val="en-US"/>
        </w:rPr>
        <w:t>Strubell</w:t>
      </w:r>
      <w:proofErr w:type="spellEnd"/>
      <w:r w:rsidRPr="008F4873">
        <w:rPr>
          <w:rFonts w:ascii="Times New Roman" w:hAnsi="Times New Roman" w:cs="Times New Roman"/>
          <w:lang w:val="en-US"/>
        </w:rPr>
        <w:t>, E., Ganesh, A., &amp; McCallum, A. (2019). Energy and policy considerations for deep learning in NLP. Proceedings of the 57th Annual Meeting of the ACL, 3645-3650.</w:t>
      </w:r>
    </w:p>
    <w:p w14:paraId="01414083"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Wang, A., Singh, A., Michael, J., Hill, F., Levy, O., &amp; Bowman, S. R. (2019). GLUE: A multi-task benchmark and analysis platform for natural language understanding. ICLR.</w:t>
      </w:r>
    </w:p>
    <w:p w14:paraId="01414084"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Yan, Z., Bai, Z., &amp; Wong, W.-F. (2024). Reconsidering the energy efficiency of spiking neural networks. arXiv:2409.08290.</w:t>
      </w:r>
    </w:p>
    <w:p w14:paraId="01414085" w14:textId="77777777" w:rsidR="00512602" w:rsidRPr="008F4873" w:rsidRDefault="00000000">
      <w:pPr>
        <w:spacing w:after="80" w:line="360" w:lineRule="auto"/>
        <w:ind w:left="480" w:hanging="480"/>
        <w:jc w:val="both"/>
        <w:rPr>
          <w:rFonts w:ascii="Times New Roman" w:hAnsi="Times New Roman" w:cs="Times New Roman"/>
          <w:lang w:val="fr-BE"/>
        </w:rPr>
      </w:pPr>
      <w:r w:rsidRPr="008F4873">
        <w:rPr>
          <w:rFonts w:ascii="Times New Roman" w:hAnsi="Times New Roman" w:cs="Times New Roman"/>
        </w:rPr>
        <w:t xml:space="preserve">Yik, J., Van den Berghe, K., den Blanken, D., Bouhadjar, Y., Fabre, M., Hueber, P., ... et al. (2025). </w:t>
      </w:r>
      <w:r w:rsidRPr="008F4873">
        <w:rPr>
          <w:rFonts w:ascii="Times New Roman" w:hAnsi="Times New Roman" w:cs="Times New Roman"/>
          <w:lang w:val="en-US"/>
        </w:rPr>
        <w:t xml:space="preserve">The </w:t>
      </w:r>
      <w:proofErr w:type="spellStart"/>
      <w:r w:rsidRPr="008F4873">
        <w:rPr>
          <w:rFonts w:ascii="Times New Roman" w:hAnsi="Times New Roman" w:cs="Times New Roman"/>
          <w:lang w:val="en-US"/>
        </w:rPr>
        <w:t>NeuroBench</w:t>
      </w:r>
      <w:proofErr w:type="spellEnd"/>
      <w:r w:rsidRPr="008F4873">
        <w:rPr>
          <w:rFonts w:ascii="Times New Roman" w:hAnsi="Times New Roman" w:cs="Times New Roman"/>
          <w:lang w:val="en-US"/>
        </w:rPr>
        <w:t xml:space="preserve"> framework for benchmarking neuromorphic computing algorithms and systems. </w:t>
      </w:r>
      <w:r w:rsidRPr="008F4873">
        <w:rPr>
          <w:rFonts w:ascii="Times New Roman" w:hAnsi="Times New Roman" w:cs="Times New Roman"/>
          <w:lang w:val="fr-BE"/>
        </w:rPr>
        <w:t>Nature Communications, 16.</w:t>
      </w:r>
    </w:p>
    <w:p w14:paraId="01414086"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fr-BE"/>
        </w:rPr>
        <w:t xml:space="preserve">Zafrir, O., Boudoukh, G., Izsak, P., &amp; </w:t>
      </w:r>
      <w:proofErr w:type="spellStart"/>
      <w:r w:rsidRPr="008F4873">
        <w:rPr>
          <w:rFonts w:ascii="Times New Roman" w:hAnsi="Times New Roman" w:cs="Times New Roman"/>
          <w:lang w:val="fr-BE"/>
        </w:rPr>
        <w:t>Wasserblat</w:t>
      </w:r>
      <w:proofErr w:type="spellEnd"/>
      <w:r w:rsidRPr="008F4873">
        <w:rPr>
          <w:rFonts w:ascii="Times New Roman" w:hAnsi="Times New Roman" w:cs="Times New Roman"/>
          <w:lang w:val="fr-BE"/>
        </w:rPr>
        <w:t xml:space="preserve">, M. (2019). </w:t>
      </w:r>
      <w:r w:rsidRPr="008F4873">
        <w:rPr>
          <w:rFonts w:ascii="Times New Roman" w:hAnsi="Times New Roman" w:cs="Times New Roman"/>
          <w:lang w:val="en-US"/>
        </w:rPr>
        <w:t xml:space="preserve">Q8BERT: Quantized 8bit BERT. 5th Workshop on Energy Efficient Machine Learning and Cognitive Computing (EMC2), </w:t>
      </w:r>
      <w:proofErr w:type="spellStart"/>
      <w:r w:rsidRPr="008F4873">
        <w:rPr>
          <w:rFonts w:ascii="Times New Roman" w:hAnsi="Times New Roman" w:cs="Times New Roman"/>
          <w:lang w:val="en-US"/>
        </w:rPr>
        <w:t>NeurIPS</w:t>
      </w:r>
      <w:proofErr w:type="spellEnd"/>
      <w:r w:rsidRPr="008F4873">
        <w:rPr>
          <w:rFonts w:ascii="Times New Roman" w:hAnsi="Times New Roman" w:cs="Times New Roman"/>
          <w:lang w:val="en-US"/>
        </w:rPr>
        <w:t xml:space="preserve"> 2019.</w:t>
      </w:r>
    </w:p>
    <w:p w14:paraId="01414087" w14:textId="77777777" w:rsidR="00512602" w:rsidRPr="008F4873" w:rsidRDefault="00000000">
      <w:pPr>
        <w:spacing w:after="80" w:line="360" w:lineRule="auto"/>
        <w:ind w:left="480" w:hanging="480"/>
        <w:jc w:val="both"/>
        <w:rPr>
          <w:rFonts w:ascii="Times New Roman" w:hAnsi="Times New Roman" w:cs="Times New Roman"/>
          <w:lang w:val="en-US"/>
        </w:rPr>
      </w:pPr>
      <w:r w:rsidRPr="008F4873">
        <w:rPr>
          <w:rFonts w:ascii="Times New Roman" w:hAnsi="Times New Roman" w:cs="Times New Roman"/>
          <w:lang w:val="en-US"/>
        </w:rPr>
        <w:t xml:space="preserve">Zhu, R.-J., Zhao, Q., Li, G., &amp; </w:t>
      </w:r>
      <w:proofErr w:type="spellStart"/>
      <w:r w:rsidRPr="008F4873">
        <w:rPr>
          <w:rFonts w:ascii="Times New Roman" w:hAnsi="Times New Roman" w:cs="Times New Roman"/>
          <w:lang w:val="en-US"/>
        </w:rPr>
        <w:t>Eshraghian</w:t>
      </w:r>
      <w:proofErr w:type="spellEnd"/>
      <w:r w:rsidRPr="008F4873">
        <w:rPr>
          <w:rFonts w:ascii="Times New Roman" w:hAnsi="Times New Roman" w:cs="Times New Roman"/>
          <w:lang w:val="en-US"/>
        </w:rPr>
        <w:t xml:space="preserve">, J. K. (2023). </w:t>
      </w:r>
      <w:proofErr w:type="spellStart"/>
      <w:r w:rsidRPr="008F4873">
        <w:rPr>
          <w:rFonts w:ascii="Times New Roman" w:hAnsi="Times New Roman" w:cs="Times New Roman"/>
          <w:lang w:val="en-US"/>
        </w:rPr>
        <w:t>SpikeGPT</w:t>
      </w:r>
      <w:proofErr w:type="spellEnd"/>
      <w:r w:rsidRPr="008F4873">
        <w:rPr>
          <w:rFonts w:ascii="Times New Roman" w:hAnsi="Times New Roman" w:cs="Times New Roman"/>
          <w:lang w:val="en-US"/>
        </w:rPr>
        <w:t>: Generative pre-trained language model with spiking neural networks. arXiv:2302.13939.</w:t>
      </w:r>
    </w:p>
    <w:sectPr w:rsidR="00512602" w:rsidRPr="008F4873">
      <w:footerReference w:type="default" r:id="rId7"/>
      <w:pgSz w:w="11906" w:h="16838"/>
      <w:pgMar w:top="1417" w:right="1701" w:bottom="1134"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9651" w14:textId="77777777" w:rsidR="00F67AF4" w:rsidRDefault="00F67AF4">
      <w:r>
        <w:separator/>
      </w:r>
    </w:p>
  </w:endnote>
  <w:endnote w:type="continuationSeparator" w:id="0">
    <w:p w14:paraId="46D52683" w14:textId="77777777" w:rsidR="00F67AF4" w:rsidRDefault="00F67A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14088" w14:textId="01FE9831" w:rsidR="00512602" w:rsidRDefault="00000000">
    <w:pPr>
      <w:jc w:val="center"/>
    </w:pPr>
    <w:r>
      <w:rPr>
        <w:sz w:val="18"/>
        <w:szCs w:val="18"/>
      </w:rPr>
      <w:t xml:space="preserve">Seite </w:t>
    </w:r>
    <w:r>
      <w:rPr>
        <w:sz w:val="18"/>
        <w:szCs w:val="18"/>
      </w:rPr>
      <w:fldChar w:fldCharType="begin"/>
    </w:r>
    <w:r>
      <w:rPr>
        <w:sz w:val="18"/>
        <w:szCs w:val="18"/>
      </w:rPr>
      <w:instrText>PAGE</w:instrText>
    </w:r>
    <w:r>
      <w:rPr>
        <w:sz w:val="18"/>
        <w:szCs w:val="18"/>
      </w:rPr>
      <w:fldChar w:fldCharType="separate"/>
    </w:r>
    <w:r w:rsidR="00337E1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3F166" w14:textId="77777777" w:rsidR="00F67AF4" w:rsidRDefault="00F67AF4">
      <w:r>
        <w:separator/>
      </w:r>
    </w:p>
  </w:footnote>
  <w:footnote w:type="continuationSeparator" w:id="0">
    <w:p w14:paraId="4236B3CB" w14:textId="77777777" w:rsidR="00F67AF4" w:rsidRDefault="00F67A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73F34"/>
    <w:multiLevelType w:val="hybridMultilevel"/>
    <w:tmpl w:val="BDE238DA"/>
    <w:lvl w:ilvl="0" w:tplc="6AC437B0">
      <w:start w:val="1"/>
      <w:numFmt w:val="bullet"/>
      <w:lvlText w:val="●"/>
      <w:lvlJc w:val="left"/>
      <w:pPr>
        <w:ind w:left="720" w:hanging="360"/>
      </w:pPr>
    </w:lvl>
    <w:lvl w:ilvl="1" w:tplc="CB1C7846">
      <w:start w:val="1"/>
      <w:numFmt w:val="bullet"/>
      <w:lvlText w:val="○"/>
      <w:lvlJc w:val="left"/>
      <w:pPr>
        <w:ind w:left="1440" w:hanging="360"/>
      </w:pPr>
    </w:lvl>
    <w:lvl w:ilvl="2" w:tplc="9F564488">
      <w:start w:val="1"/>
      <w:numFmt w:val="bullet"/>
      <w:lvlText w:val="■"/>
      <w:lvlJc w:val="left"/>
      <w:pPr>
        <w:ind w:left="2160" w:hanging="360"/>
      </w:pPr>
    </w:lvl>
    <w:lvl w:ilvl="3" w:tplc="8FF63C20">
      <w:start w:val="1"/>
      <w:numFmt w:val="bullet"/>
      <w:lvlText w:val="●"/>
      <w:lvlJc w:val="left"/>
      <w:pPr>
        <w:ind w:left="2880" w:hanging="360"/>
      </w:pPr>
    </w:lvl>
    <w:lvl w:ilvl="4" w:tplc="E954C676">
      <w:start w:val="1"/>
      <w:numFmt w:val="bullet"/>
      <w:lvlText w:val="○"/>
      <w:lvlJc w:val="left"/>
      <w:pPr>
        <w:ind w:left="3600" w:hanging="360"/>
      </w:pPr>
    </w:lvl>
    <w:lvl w:ilvl="5" w:tplc="509CCB6A">
      <w:start w:val="1"/>
      <w:numFmt w:val="bullet"/>
      <w:lvlText w:val="■"/>
      <w:lvlJc w:val="left"/>
      <w:pPr>
        <w:ind w:left="4320" w:hanging="360"/>
      </w:pPr>
    </w:lvl>
    <w:lvl w:ilvl="6" w:tplc="176E2A88">
      <w:start w:val="1"/>
      <w:numFmt w:val="bullet"/>
      <w:lvlText w:val="●"/>
      <w:lvlJc w:val="left"/>
      <w:pPr>
        <w:ind w:left="5040" w:hanging="360"/>
      </w:pPr>
    </w:lvl>
    <w:lvl w:ilvl="7" w:tplc="03423850">
      <w:start w:val="1"/>
      <w:numFmt w:val="bullet"/>
      <w:lvlText w:val="●"/>
      <w:lvlJc w:val="left"/>
      <w:pPr>
        <w:ind w:left="5760" w:hanging="360"/>
      </w:pPr>
    </w:lvl>
    <w:lvl w:ilvl="8" w:tplc="C33EDA64">
      <w:start w:val="1"/>
      <w:numFmt w:val="bullet"/>
      <w:lvlText w:val="●"/>
      <w:lvlJc w:val="left"/>
      <w:pPr>
        <w:ind w:left="6480" w:hanging="360"/>
      </w:pPr>
    </w:lvl>
  </w:abstractNum>
  <w:abstractNum w:abstractNumId="1" w15:restartNumberingAfterBreak="0">
    <w:nsid w:val="77BC3211"/>
    <w:multiLevelType w:val="hybridMultilevel"/>
    <w:tmpl w:val="D9CCF24E"/>
    <w:lvl w:ilvl="0" w:tplc="56847050">
      <w:start w:val="1"/>
      <w:numFmt w:val="bullet"/>
      <w:lvlText w:val="•"/>
      <w:lvlJc w:val="left"/>
      <w:pPr>
        <w:ind w:left="480" w:hanging="240"/>
      </w:pPr>
    </w:lvl>
    <w:lvl w:ilvl="1" w:tplc="4F04CF92">
      <w:numFmt w:val="decimal"/>
      <w:lvlText w:val=""/>
      <w:lvlJc w:val="left"/>
    </w:lvl>
    <w:lvl w:ilvl="2" w:tplc="A196A342">
      <w:numFmt w:val="decimal"/>
      <w:lvlText w:val=""/>
      <w:lvlJc w:val="left"/>
    </w:lvl>
    <w:lvl w:ilvl="3" w:tplc="B2E8268A">
      <w:numFmt w:val="decimal"/>
      <w:lvlText w:val=""/>
      <w:lvlJc w:val="left"/>
    </w:lvl>
    <w:lvl w:ilvl="4" w:tplc="F7029C78">
      <w:numFmt w:val="decimal"/>
      <w:lvlText w:val=""/>
      <w:lvlJc w:val="left"/>
    </w:lvl>
    <w:lvl w:ilvl="5" w:tplc="4ACA8024">
      <w:numFmt w:val="decimal"/>
      <w:lvlText w:val=""/>
      <w:lvlJc w:val="left"/>
    </w:lvl>
    <w:lvl w:ilvl="6" w:tplc="44327F46">
      <w:numFmt w:val="decimal"/>
      <w:lvlText w:val=""/>
      <w:lvlJc w:val="left"/>
    </w:lvl>
    <w:lvl w:ilvl="7" w:tplc="19427676">
      <w:numFmt w:val="decimal"/>
      <w:lvlText w:val=""/>
      <w:lvlJc w:val="left"/>
    </w:lvl>
    <w:lvl w:ilvl="8" w:tplc="253E2042">
      <w:numFmt w:val="decimal"/>
      <w:lvlText w:val=""/>
      <w:lvlJc w:val="left"/>
    </w:lvl>
  </w:abstractNum>
  <w:num w:numId="1" w16cid:durableId="110828400">
    <w:abstractNumId w:val="0"/>
    <w:lvlOverride w:ilvl="0">
      <w:startOverride w:val="1"/>
    </w:lvlOverride>
  </w:num>
  <w:num w:numId="2" w16cid:durableId="374937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602"/>
    <w:rsid w:val="000222CC"/>
    <w:rsid w:val="000406B3"/>
    <w:rsid w:val="000774C0"/>
    <w:rsid w:val="001037D8"/>
    <w:rsid w:val="00196B9B"/>
    <w:rsid w:val="001A1BCC"/>
    <w:rsid w:val="001B1EC9"/>
    <w:rsid w:val="00217B5E"/>
    <w:rsid w:val="002C7AF5"/>
    <w:rsid w:val="00337E13"/>
    <w:rsid w:val="00370681"/>
    <w:rsid w:val="003E2E28"/>
    <w:rsid w:val="00414F01"/>
    <w:rsid w:val="004E2F23"/>
    <w:rsid w:val="00512602"/>
    <w:rsid w:val="00553356"/>
    <w:rsid w:val="005B13F2"/>
    <w:rsid w:val="005C7052"/>
    <w:rsid w:val="0063069D"/>
    <w:rsid w:val="00746E2E"/>
    <w:rsid w:val="007A6E02"/>
    <w:rsid w:val="008F4873"/>
    <w:rsid w:val="00AA2BFA"/>
    <w:rsid w:val="00C30412"/>
    <w:rsid w:val="00C663B8"/>
    <w:rsid w:val="00C9214A"/>
    <w:rsid w:val="00DA4098"/>
    <w:rsid w:val="00DC4F39"/>
    <w:rsid w:val="00F67AF4"/>
  </w:rsids>
  <m:mathPr>
    <m:mathFont m:val="Cambria Math"/>
    <m:brkBin m:val="before"/>
    <m:brkBinSub m:val="--"/>
    <m:smallFrac m:val="0"/>
    <m:dispDef/>
    <m:lMargin m:val="0"/>
    <m:rMargin m:val="0"/>
    <m:defJc m:val="centerGroup"/>
    <m:wrapIndent m:val="1440"/>
    <m:intLim m:val="subSup"/>
    <m:naryLim m:val="undOvr"/>
  </m:mathPr>
  <w:themeFontLang w:val="de-A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1402E"/>
  <w15:docId w15:val="{3E493DEC-EFA8-4A01-85BA-BCF55754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AT"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TitleChar">
    <w:name w:val="Title Char"/>
    <w:basedOn w:val="DefaultParagraphFont"/>
    <w:link w:val="Title"/>
    <w:rsid w:val="00746E2E"/>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2155</Words>
  <Characters>13879</Characters>
  <Application>Microsoft Office Word</Application>
  <DocSecurity>0</DocSecurity>
  <Lines>252</Lines>
  <Paragraphs>89</Paragraphs>
  <ScaleCrop>false</ScaleCrop>
  <Company/>
  <LinksUpToDate>false</LinksUpToDate>
  <CharactersWithSpaces>15945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Trummer</cp:lastModifiedBy>
  <cp:revision>25</cp:revision>
  <dcterms:created xsi:type="dcterms:W3CDTF">2026-07-02T11:22:00Z</dcterms:created>
  <dcterms:modified xsi:type="dcterms:W3CDTF">2026-07-09T16:52:00Z</dcterms:modified>
</cp:coreProperties>
</file>