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4B" w:rsidRPr="003C47E2" w:rsidRDefault="0014294B" w:rsidP="003C47E2">
      <w:pPr>
        <w:ind w:left="-1134" w:right="14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</w:t>
      </w:r>
      <w:r w:rsidR="003C47E2"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Диаграмма активности для предоставление отчёта о статистике.</w:t>
      </w:r>
    </w:p>
    <w:p w:rsidR="0014294B" w:rsidRDefault="0014294B" w:rsidP="0014294B">
      <w:pPr>
        <w:ind w:left="-426" w:right="141"/>
      </w:pPr>
      <w:r w:rsidRPr="0014294B">
        <w:drawing>
          <wp:inline distT="0" distB="0" distL="0" distR="0" wp14:anchorId="7FE1940A" wp14:editId="7F46562A">
            <wp:extent cx="5940425" cy="2350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2" w:rsidRPr="003C47E2" w:rsidRDefault="003C47E2" w:rsidP="003C47E2">
      <w:pPr>
        <w:ind w:left="-1134" w:right="141"/>
        <w:rPr>
          <w:rFonts w:ascii="Times New Roman" w:hAnsi="Times New Roman" w:cs="Times New Roman"/>
          <w:sz w:val="28"/>
          <w:szCs w:val="28"/>
        </w:rPr>
      </w:pPr>
      <w:r w:rsidRPr="003C47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Рисунок 1 </w:t>
      </w:r>
      <w:r w:rsidRPr="003C47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иллюстрирует процесс, который начинается с запроса и заканчивается предоставлением готового отчёта о статистике, соответствующего установленным требованиям.</w:t>
      </w:r>
    </w:p>
    <w:p w:rsidR="0014294B" w:rsidRDefault="0014294B" w:rsidP="003C47E2">
      <w:pPr>
        <w:ind w:right="141"/>
      </w:pPr>
    </w:p>
    <w:p w:rsidR="0014294B" w:rsidRDefault="0014294B" w:rsidP="0014294B">
      <w:pPr>
        <w:ind w:left="-426" w:right="141"/>
      </w:pPr>
    </w:p>
    <w:p w:rsidR="0014294B" w:rsidRPr="003C47E2" w:rsidRDefault="003C47E2" w:rsidP="003C47E2">
      <w:pPr>
        <w:ind w:left="-1134" w:right="14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</w:t>
      </w: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Диаграмма активности для расчёта и оплаты налогов и страховок.</w:t>
      </w:r>
    </w:p>
    <w:p w:rsidR="00836975" w:rsidRDefault="001E44D3" w:rsidP="0014294B">
      <w:pPr>
        <w:ind w:left="-426" w:right="141"/>
      </w:pPr>
      <w:r w:rsidRPr="001E44D3">
        <w:rPr>
          <w:noProof/>
          <w:lang w:eastAsia="ru-RU"/>
        </w:rPr>
        <w:drawing>
          <wp:inline distT="0" distB="0" distL="0" distR="0" wp14:anchorId="0C06A33A" wp14:editId="74F69E54">
            <wp:extent cx="6400800" cy="198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7046" cy="21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2" w:rsidRPr="003C47E2" w:rsidRDefault="003C47E2" w:rsidP="003C47E2">
      <w:pPr>
        <w:ind w:left="-1134" w:right="141"/>
        <w:rPr>
          <w:rFonts w:ascii="Times New Roman" w:hAnsi="Times New Roman" w:cs="Times New Roman"/>
          <w:sz w:val="28"/>
          <w:szCs w:val="28"/>
        </w:rPr>
      </w:pPr>
      <w:r w:rsidRPr="003C47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Рисунок 2</w:t>
      </w:r>
      <w:r w:rsidRPr="003C47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показывает последовательность действий, необходимых для подготовки и отправки отчетности по налогам и страховым взносам, а также разделение ответственности между ключевыми участниками процесса.</w:t>
      </w:r>
      <w:bookmarkStart w:id="0" w:name="_GoBack"/>
      <w:bookmarkEnd w:id="0"/>
    </w:p>
    <w:sectPr w:rsidR="003C47E2" w:rsidRPr="003C47E2" w:rsidSect="001E44D3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91"/>
    <w:rsid w:val="0014294B"/>
    <w:rsid w:val="001E44D3"/>
    <w:rsid w:val="003C47E2"/>
    <w:rsid w:val="00446902"/>
    <w:rsid w:val="00836975"/>
    <w:rsid w:val="00B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19A4"/>
  <w15:chartTrackingRefBased/>
  <w15:docId w15:val="{DEF8A1EC-1936-49F5-AE87-0A4A7C43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4</cp:revision>
  <dcterms:created xsi:type="dcterms:W3CDTF">2025-04-24T09:53:00Z</dcterms:created>
  <dcterms:modified xsi:type="dcterms:W3CDTF">2025-04-25T06:28:00Z</dcterms:modified>
</cp:coreProperties>
</file>