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57D" w:rsidRPr="00594801" w:rsidRDefault="0005257D" w:rsidP="00594801">
      <w:pPr>
        <w:spacing w:after="0" w:line="259" w:lineRule="auto"/>
        <w:jc w:val="center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>Міністерство освіти та науки України</w:t>
      </w:r>
    </w:p>
    <w:p w:rsidR="0005257D" w:rsidRPr="00594801" w:rsidRDefault="0005257D" w:rsidP="00594801">
      <w:pPr>
        <w:spacing w:after="0" w:line="259" w:lineRule="auto"/>
        <w:jc w:val="center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>Національний технічний університет України</w:t>
      </w:r>
    </w:p>
    <w:p w:rsidR="0005257D" w:rsidRPr="00594801" w:rsidRDefault="0005257D" w:rsidP="00594801">
      <w:pPr>
        <w:spacing w:after="0" w:line="259" w:lineRule="auto"/>
        <w:jc w:val="center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>«Київський політехнічний інститут»</w:t>
      </w:r>
    </w:p>
    <w:p w:rsidR="0005257D" w:rsidRPr="00594801" w:rsidRDefault="0005257D" w:rsidP="00594801">
      <w:pPr>
        <w:spacing w:after="0" w:line="259" w:lineRule="auto"/>
        <w:jc w:val="center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>Інститут енергозбереження та енергоменеджменту</w:t>
      </w:r>
    </w:p>
    <w:p w:rsidR="0005257D" w:rsidRPr="00594801" w:rsidRDefault="0005257D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05257D" w:rsidRPr="00594801" w:rsidRDefault="0005257D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05257D" w:rsidRPr="00594801" w:rsidRDefault="0005257D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05257D" w:rsidRPr="00594801" w:rsidRDefault="0005257D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05257D" w:rsidRPr="00594801" w:rsidRDefault="0005257D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05257D" w:rsidRPr="00594801" w:rsidRDefault="0005257D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05257D" w:rsidRPr="00594801" w:rsidRDefault="0005257D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05257D" w:rsidRPr="00594801" w:rsidRDefault="0005257D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05257D" w:rsidRPr="00594801" w:rsidRDefault="0005257D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05257D" w:rsidRPr="00594801" w:rsidRDefault="0005257D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05257D" w:rsidRPr="00594801" w:rsidRDefault="0005257D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223256" w:rsidRPr="00594801" w:rsidRDefault="00594801" w:rsidP="00594801">
      <w:pPr>
        <w:spacing w:after="0" w:line="259" w:lineRule="auto"/>
        <w:jc w:val="center"/>
        <w:rPr>
          <w:rFonts w:ascii="Times New Roman" w:hAnsi="Times New Roman"/>
          <w:b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b/>
          <w:color w:val="000000"/>
          <w:spacing w:val="-4"/>
          <w:sz w:val="28"/>
          <w:szCs w:val="28"/>
        </w:rPr>
        <w:t>Реферат</w:t>
      </w:r>
    </w:p>
    <w:p w:rsidR="00223256" w:rsidRPr="00594801" w:rsidRDefault="00594801" w:rsidP="00594801">
      <w:pPr>
        <w:spacing w:after="0" w:line="259" w:lineRule="auto"/>
        <w:jc w:val="center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b/>
          <w:color w:val="000000"/>
          <w:spacing w:val="-4"/>
          <w:sz w:val="28"/>
          <w:szCs w:val="28"/>
        </w:rPr>
        <w:t>На тему</w:t>
      </w: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 xml:space="preserve"> «Розвиток гірничої техніки в середньовіччя за книгою Агріколи про гірничу справу</w:t>
      </w:r>
      <w:r w:rsidR="00223256" w:rsidRPr="00594801">
        <w:rPr>
          <w:rFonts w:ascii="Times New Roman" w:hAnsi="Times New Roman"/>
          <w:color w:val="000000"/>
          <w:spacing w:val="-4"/>
          <w:sz w:val="28"/>
          <w:szCs w:val="28"/>
        </w:rPr>
        <w:t>»</w:t>
      </w:r>
    </w:p>
    <w:p w:rsidR="00594801" w:rsidRPr="00594801" w:rsidRDefault="00594801" w:rsidP="00594801">
      <w:pPr>
        <w:spacing w:after="0" w:line="259" w:lineRule="auto"/>
        <w:jc w:val="center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b/>
          <w:color w:val="000000"/>
          <w:spacing w:val="-4"/>
          <w:sz w:val="28"/>
          <w:szCs w:val="28"/>
        </w:rPr>
        <w:t>З курсу</w:t>
      </w: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 xml:space="preserve"> «Енергозберігаючи технології в гірництві»</w:t>
      </w:r>
    </w:p>
    <w:p w:rsidR="0005257D" w:rsidRPr="00594801" w:rsidRDefault="0005257D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05257D" w:rsidRPr="00594801" w:rsidRDefault="0005257D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05257D" w:rsidRPr="00594801" w:rsidRDefault="0005257D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05257D" w:rsidRPr="00594801" w:rsidRDefault="0005257D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05257D" w:rsidRPr="00594801" w:rsidRDefault="0005257D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05257D" w:rsidRPr="00594801" w:rsidRDefault="0005257D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05257D" w:rsidRPr="00594801" w:rsidRDefault="0005257D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05257D" w:rsidRPr="00594801" w:rsidRDefault="0005257D" w:rsidP="00594801">
      <w:pPr>
        <w:spacing w:after="0" w:line="259" w:lineRule="auto"/>
        <w:jc w:val="right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>Виконав:</w:t>
      </w:r>
    </w:p>
    <w:p w:rsidR="0005257D" w:rsidRPr="00594801" w:rsidRDefault="00223256" w:rsidP="00594801">
      <w:pPr>
        <w:spacing w:after="0" w:line="259" w:lineRule="auto"/>
        <w:jc w:val="right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>студент групи</w:t>
      </w:r>
      <w:r w:rsidR="00594801" w:rsidRPr="00594801">
        <w:rPr>
          <w:rFonts w:ascii="Times New Roman" w:hAnsi="Times New Roman"/>
          <w:color w:val="000000"/>
          <w:spacing w:val="-4"/>
          <w:sz w:val="28"/>
          <w:szCs w:val="28"/>
        </w:rPr>
        <w:t xml:space="preserve"> ОБ-51м</w:t>
      </w:r>
    </w:p>
    <w:p w:rsidR="0005257D" w:rsidRPr="00594801" w:rsidRDefault="00223256" w:rsidP="00594801">
      <w:pPr>
        <w:spacing w:after="0" w:line="259" w:lineRule="auto"/>
        <w:jc w:val="right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>Павленко М.О.</w:t>
      </w:r>
    </w:p>
    <w:p w:rsidR="0005257D" w:rsidRPr="00594801" w:rsidRDefault="0005257D" w:rsidP="00594801">
      <w:pPr>
        <w:spacing w:after="0" w:line="259" w:lineRule="auto"/>
        <w:jc w:val="right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>Прийняв:</w:t>
      </w:r>
    </w:p>
    <w:p w:rsidR="0005257D" w:rsidRPr="00594801" w:rsidRDefault="00594801" w:rsidP="00594801">
      <w:pPr>
        <w:spacing w:after="0" w:line="259" w:lineRule="auto"/>
        <w:jc w:val="right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 xml:space="preserve">Гайко Г. І. </w:t>
      </w:r>
    </w:p>
    <w:p w:rsidR="0005257D" w:rsidRPr="00594801" w:rsidRDefault="0005257D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05257D" w:rsidRPr="00594801" w:rsidRDefault="0005257D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05257D" w:rsidRPr="00594801" w:rsidRDefault="0005257D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05257D" w:rsidRPr="00594801" w:rsidRDefault="0005257D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05257D" w:rsidRPr="00594801" w:rsidRDefault="0005257D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05257D" w:rsidRPr="00594801" w:rsidRDefault="0005257D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lastRenderedPageBreak/>
        <w:t xml:space="preserve">Вперше систематизував знання про збагачення корисних копалин Ґ.Аґрікола у своїй знаменитій енциклопедичній роботі «De Re Metallica» (1556 р.), виклавши їх у окремій «Книзі восьмій». Він виділяє такі основні операції, застосовувані у збагаченні: селективне виймання, сортування, дроблення, подрібнення, грохочення, гравітаційні методи збагачення, промивання, амальгамування, а також підготовчі термічні методи, зокрема випалення і використання для збагачення корисних копалин рельєфу та природних потоків. Розглянемо стан розробленості цих технологічних процесів і операцій збагачення у середні віки. Селективне виймання і сортування (рудовибірка). Чи не вперше у гірництві Ґ.Аґрікола описує селективне виймання рудокопами рудного ма-теріалу при розробці рудних жил: «цінну руду вони відкладають у рудопро-мивні корита, </w:t>
      </w: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>а малоцінну кидають окремо</w:t>
      </w: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 xml:space="preserve"> в бадді». Якщо ж цього рудо-коп не зробив на етапі виймання, то треба це зробити пізніше: «викопану руду треба уважно оглянути і відокремити частину, багату металлом, від частини, яка не має металлу» (зараз цю операцію попереднього збагачення називають «рудовибірка» або «сортування»). Для рудовибірки на копальнях залучали не тільки чоловіків-гірників, але й жінок та дітей, які «проводять цілі дні за рудорозбірним столом». Великі шматки руди розколювали молотами, дробили і товкли, після чого вибирали добірні грудки, а бідні на метал викидали.</w:t>
      </w: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>Ґ.Аґрікола так описує конструкцію рудорозбірного столу: «Найчастіше рудорозбірні столи виготовлені з щільно підігнаних дощок довжиною 4 фути, така ж і ширина стола; до трьох сторін столу припасовані борти висотою 1 фут, передній же край, де знаходиться розбірник руди, відкритий.» Для дроблення великих шматків «рудорозбірники кладуть на кожний рудорозбірний стіл твердий і широкий камінь».</w:t>
      </w: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b/>
          <w:color w:val="000000"/>
          <w:spacing w:val="-4"/>
          <w:sz w:val="28"/>
          <w:szCs w:val="28"/>
        </w:rPr>
        <w:t>Професійні рудорозбірники</w:t>
      </w: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 xml:space="preserve"> XVI ст. (наприклад, у м. Гослар, Німеччина) використовували захисні рукавиці та «наніжники», виготовлені з деревної кори. Самородні метали (срібло) рудорозбірники сплющували, розрізали залізними зубилами або ножицями на шматки і направляли на плавлення.</w:t>
      </w: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b/>
          <w:color w:val="000000"/>
          <w:spacing w:val="-4"/>
          <w:sz w:val="28"/>
          <w:szCs w:val="28"/>
        </w:rPr>
        <w:t>Термічна обробка руд</w:t>
      </w: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 xml:space="preserve"> при їх збагаченні. Інколи перед рудорозбіркою руду піддавали термообробці (випалювали), що, по-перше, зменшувало її міцність, покращувало дробимість і, по-друге, дозволяло видалити (випалити) ряд нерудних домішок – сірку, бітум, аурипігмент, реальгар тощо. При цьому вже у середньовіччі були вироблені різноманітні способи випалення – конусоподібних куп руди на відкритому майданчику і у спеціальних печах; з добавками купоросу, колчедану, змочуванням водою; у одну (дві, три) стадії. Інколи до випалювання видобутої руди її витримували в купах на відкритому повітрі – сонце, вітер, вода (дощі), температурні коливання дещо розпушували рудний матеріал.</w:t>
      </w: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>Дроблення руди.</w:t>
      </w:r>
    </w:p>
    <w:p w:rsid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b/>
          <w:color w:val="000000"/>
          <w:spacing w:val="-4"/>
          <w:sz w:val="28"/>
          <w:szCs w:val="28"/>
        </w:rPr>
        <w:t>Дроблення і подрібнення.</w:t>
      </w: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 xml:space="preserve"> Дроблення рудного матеріалу у XVI ст. ви-конували двома шляхами – окремих валунів про сортуванні і крупних класів, які виділялися шляхом просіювання (грохочення).</w:t>
      </w:r>
    </w:p>
    <w:p w:rsidR="00594801" w:rsidRPr="00594801" w:rsidRDefault="00594801" w:rsidP="00594801">
      <w:pPr>
        <w:spacing w:after="0" w:line="259" w:lineRule="auto"/>
        <w:jc w:val="center"/>
        <w:rPr>
          <w:rFonts w:ascii="Times New Roman" w:hAnsi="Times New Roman"/>
          <w:color w:val="000000"/>
          <w:spacing w:val="-4"/>
          <w:sz w:val="28"/>
          <w:szCs w:val="28"/>
        </w:rPr>
      </w:pPr>
      <w:r>
        <w:rPr>
          <w:rFonts w:ascii="Times New Roman" w:hAnsi="Times New Roman"/>
          <w:noProof/>
          <w:color w:val="000000"/>
          <w:spacing w:val="-4"/>
          <w:sz w:val="28"/>
          <w:szCs w:val="28"/>
          <w:lang w:val="en-US"/>
        </w:rPr>
        <w:drawing>
          <wp:inline distT="0" distB="0" distL="0" distR="0">
            <wp:extent cx="3781425" cy="412466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578" cy="413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>Дроблення валунів при сортуванні. Поширеність операції сортування руд, використання його протягом століть виробили специфічні знаряддя дро-блення рудних валунів, які за Ґ.Аґріколою «на вигляд були схожі на кувалди, а за призначенням – близькі до ціпів. Ці знаряддя мають довжину 1 фут, шириною в 1 долоню, товщиною в палець; посередині зроблено, як у кувалдах, отвір, в який вставлено не товстий дерев’яний держак довжиною 3,5 фута. … Широким боком цього залізного знаряддя робочі товчуть руду так само як молотять зерно на току гладенькими дерев’яними ціпами, навішеними на ціповища.»</w:t>
      </w: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 xml:space="preserve">Дроблення надрешітного матеріалу. Ґ.Аґрікола описує, що всю руду просіювали на ситі вилучаючи крупні класи (діаметром з горіх і більше). Надрешітний продукт піддавали дробленню ударним способом у дробарці оригінальної конструкції, яку називали «товчільний ящик» (рис.). По суті вся його конструкція була підпорядкована одній меті – механізації процесу тов-чіння крупного матеріалу на міцній підложці (дубовій колоді, камені або за-лізній плиті) спеціальними товкачами </w:t>
      </w: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lastRenderedPageBreak/>
        <w:t>із залізними головками. Пристрій, мав 3-4 таких товкачів і прямокутну робочу зону дроблення, а іноді (Східні Альпи – нині територія Італії, Швейцарії, Австрії, а також у Карпатах) – до 20 товкачів уряд і видовжену робочу зону дроблення. Товкачам надавали зворотно-поступального руху у вертикальній площині. Приводом, як правило, слугував водяний млин, який виконували у закритому приміщенні, що покращу-вало умови його експлуатації в зимовий час. Така «товчільна дробарка» пра-цювала у замкненому циклі з контрольним грохотом, - на дроблення повер-тався надрешітний продукт. Зрозуміло, що вся схема працювала у періодич-ному режимі: спершу дробарку завантажували крупними грудками руди, потім приводили товкачі в рух, після певного часу зупиняли товкачі, вивантажували дроблену руду, просіювали її на ситі, завантажували нову порції крупного класу руди і недороблений (надрешітний) матеріал.</w:t>
      </w: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>Проривне рішення в галузі дроблення застосував Йоганн фон Мальтітц (єпископ Мейссенський), який у 1512 році на саксонських руднях у Німеччині замість сухого застосував мокре дроблення (дроблення попередньо змоченого матеріалу), яке було більш ефективним. По суті емпірично чи не вперше масово у збагаченні корисних копалин було використано розклинюючий ефект, який чинить вода у порах і мікротріщинах, зменшуючи у такий спосіб міцність суцільного рудного матеріалу, полегшує його руйнування. Сьогодні це явище відоме під назвою «ефект Ребіндера» і застосовується при дробленні та подрібненні різних корисних копалин, приготуванні водовугільного високонцентрованого палива.</w:t>
      </w: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b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b/>
          <w:color w:val="000000"/>
          <w:spacing w:val="-4"/>
          <w:sz w:val="28"/>
          <w:szCs w:val="28"/>
        </w:rPr>
        <w:t>Грохочення.</w:t>
      </w:r>
    </w:p>
    <w:p w:rsid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>Подрібнення рудного матеріалу у часи Ґ.Аґріколи виконувалося водя-ними або мускульними млинами, конструктивно виконаними на основі жорен. Подрібнення золотоносної руди виконувалося в декілька стадій (до 3-х). Інколи дроблення і подрібнення суміщали з операцією промивки. Промиту руду направляли на амальгамацію.</w:t>
      </w:r>
      <w:r>
        <w:rPr>
          <w:rFonts w:ascii="Times New Roman" w:hAnsi="Times New Roman"/>
          <w:color w:val="000000"/>
          <w:spacing w:val="-4"/>
          <w:sz w:val="28"/>
          <w:szCs w:val="28"/>
        </w:rPr>
        <w:t xml:space="preserve"> </w:t>
      </w: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  <w:r>
        <w:rPr>
          <w:rFonts w:ascii="Times New Roman" w:hAnsi="Times New Roman"/>
          <w:noProof/>
          <w:color w:val="000000"/>
          <w:spacing w:val="-4"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82F55F9" wp14:editId="5B0207EC">
            <wp:simplePos x="0" y="0"/>
            <wp:positionH relativeFrom="column">
              <wp:posOffset>238125</wp:posOffset>
            </wp:positionH>
            <wp:positionV relativeFrom="paragraph">
              <wp:posOffset>0</wp:posOffset>
            </wp:positionV>
            <wp:extent cx="3344400" cy="3348000"/>
            <wp:effectExtent l="0" t="0" r="8890" b="5080"/>
            <wp:wrapThrough wrapText="bothSides">
              <wp:wrapPolygon edited="0">
                <wp:start x="0" y="0"/>
                <wp:lineTo x="0" y="21510"/>
                <wp:lineTo x="21534" y="21510"/>
                <wp:lineTo x="21534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400" cy="33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>Грохочення. Для виконання цієї операції у XVI ст. використовували ряд методів і пристроїв. Так, для крупного грохочення, за Ґ.Аґріколою, засто-совували «короткий ящик» з мідною сіткою замість дна, який підв’язували до крюка на стовпі або до сука на дереві. Робітник багатократно притягував ящик заповнений рудою до себе і відпускав його, сильно вдаряючи об стовп чи дерево. При цьому матеріал просіювався. Підрешітний продукт першого ящика (грохота) направляли у подібний «короткий ящик» але з меншими отворами сита і виконували ті ж операції для розсіювання матеріалу на класи крупності. Підрешітний продукт другого ящика направляли у третій ящик зі ще меншими отворами сита. Для виділення найменших (пилеподібних) класів крупності застосовували мокре просіювання – шляхом «прополіскування в діжці з водою». Просіюючими поверхнями таких грохотів у Рудних горах були дротяні – мідні і залізні сита, які підтримувалися прутами. Барабан сита – дерев’яний, виконаний у формі бочки, скріплений залізними ободами. Чеські гірники того часу для просіювання дрібнодисперсного матеріалу використовували також плетені кошики, які розгойдували і трясли у бадді чи діжці, майже повністю заповненій водою.</w:t>
      </w: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4444C4">
        <w:rPr>
          <w:rFonts w:ascii="Times New Roman" w:hAnsi="Times New Roman"/>
          <w:b/>
          <w:color w:val="000000"/>
          <w:spacing w:val="-4"/>
          <w:sz w:val="28"/>
          <w:szCs w:val="28"/>
        </w:rPr>
        <w:t>Амальгамування</w:t>
      </w: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 xml:space="preserve"> у XVI ст. виконували у послідовно встановлених пе-реливних ємностях (бочках), куди поміщали ртуть. Пульпа золоторудної муки послідовно надходила у кожну бочку (з верхньої до нижньої), де перемі-шувалася, частинки золота при контакті з ртуттю створювали золото-ртутну амальгаму (сплав ртуті з металом).</w:t>
      </w: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4444C4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4444C4">
        <w:rPr>
          <w:rFonts w:ascii="Times New Roman" w:hAnsi="Times New Roman"/>
          <w:b/>
          <w:color w:val="000000"/>
          <w:spacing w:val="-4"/>
          <w:sz w:val="28"/>
          <w:szCs w:val="28"/>
        </w:rPr>
        <w:t>Гравітаційне збагачення і водна промивка руд</w:t>
      </w: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 xml:space="preserve">. Ґ.Аґрікола описує шість способів промивки металовмісних руд: «у простому жолобі, у жолобі, який розгороджений дощечками, у великому баці, у короткому герді або планен-герді,похилому герді – шлемграбені (пристрої для промивки корисних копалин), або на густому ситі» (рис.). При цьому він називає вказані способи «старими». </w:t>
      </w: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lastRenderedPageBreak/>
        <w:t>У той же час застосовували і більш сучасні – модернізовані про-мивні машини, наприклад двоповерхові промивні жолоби, нижнє і верхнє відділення яких розділяло залізне сит</w:t>
      </w:r>
      <w:r w:rsidR="004444C4">
        <w:rPr>
          <w:rFonts w:ascii="Times New Roman" w:hAnsi="Times New Roman"/>
          <w:color w:val="000000"/>
          <w:spacing w:val="-4"/>
          <w:sz w:val="28"/>
          <w:szCs w:val="28"/>
        </w:rPr>
        <w:t>о (поєднання грохота і жолоба).</w:t>
      </w: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>Гравітаційне збагачення виконували у жолобах (шлюзах) різних конструкцій, сучасним аналогом яких є вашгерд. Техніка гравітаційного збагачення корисних копалин, зокрема золота, олова і інших металів розсипних родовищ з високою питомою вагою, а також гранатів у водних потоках, що течуть по похилій поверхні у XVI ст. досягла високого рівня. Показником цього є залучення до збагачення найтонших класів – для їх уловлювання застосовували покриття дна гердів шкірами волів, кінськими шкірами, зеленим сукном тощо (сьогоднішні аналоги – ворсисті шлюзи). Для підвищення ефективності збагачення у шлюзах мийник (як правило хлопчик) мав весь час перемішувати руду (спеціальними гребками або струшуючи герд) – важкі часточки золота чи олова опускалися на дно і застрягали у ворсинах підстилки, а легші вимивалися потоком води. Після накопичення значної кількості важкої фракції у ворсяній підстилці процес припиняли і споліскув</w:t>
      </w:r>
      <w:r w:rsidR="004444C4">
        <w:rPr>
          <w:rFonts w:ascii="Times New Roman" w:hAnsi="Times New Roman"/>
          <w:color w:val="000000"/>
          <w:spacing w:val="-4"/>
          <w:sz w:val="28"/>
          <w:szCs w:val="28"/>
        </w:rPr>
        <w:t>али її, вилучаючи цінний метал.</w:t>
      </w:r>
      <w:bookmarkStart w:id="0" w:name="_GoBack"/>
      <w:bookmarkEnd w:id="0"/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>Промивка золота.</w:t>
      </w:r>
    </w:p>
    <w:p w:rsid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4444C4">
        <w:rPr>
          <w:rFonts w:ascii="Times New Roman" w:hAnsi="Times New Roman"/>
          <w:b/>
          <w:color w:val="000000"/>
          <w:spacing w:val="-4"/>
          <w:sz w:val="28"/>
          <w:szCs w:val="28"/>
        </w:rPr>
        <w:t>Процес промивки водою</w:t>
      </w: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>, який використовується і сьогодні, забезпечує відмивання від щільного матеріалу пухких глинистих та тонких піщаних фракцій, які вловлюються у фільтрах, а найтонші – у мулонакопичувачах.</w:t>
      </w:r>
    </w:p>
    <w:p w:rsidR="004444C4" w:rsidRPr="00594801" w:rsidRDefault="004444C4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  <w:r>
        <w:rPr>
          <w:rFonts w:ascii="Times New Roman" w:hAnsi="Times New Roman"/>
          <w:noProof/>
          <w:color w:val="000000"/>
          <w:spacing w:val="-4"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3096000" cy="3290400"/>
            <wp:effectExtent l="0" t="0" r="0" b="5715"/>
            <wp:wrapThrough wrapText="bothSides">
              <wp:wrapPolygon edited="0">
                <wp:start x="0" y="0"/>
                <wp:lineTo x="0" y="21512"/>
                <wp:lineTo x="21401" y="21512"/>
                <wp:lineTo x="21401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000" cy="32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>Цікаво, що нинішні шламовідстійники та мулонакопичувачі мали своїх аналогів-попередників у середньовіччі. Так, у Саксонській Швейцарії, на притоках Ельби у XVI ст. було влаштовано ряд ставків-відстійників для тонкодисперсної оловоносної руди і ці відстійники були частиною технологічно-го циклу промивочних рудень.</w:t>
      </w:r>
    </w:p>
    <w:p w:rsid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4444C4" w:rsidRDefault="004444C4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4444C4" w:rsidRDefault="004444C4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4444C4" w:rsidRPr="00594801" w:rsidRDefault="004444C4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</w:p>
    <w:p w:rsidR="00594801" w:rsidRPr="00594801" w:rsidRDefault="00594801" w:rsidP="00594801">
      <w:pPr>
        <w:spacing w:after="0" w:line="259" w:lineRule="auto"/>
        <w:jc w:val="both"/>
        <w:rPr>
          <w:rFonts w:ascii="Times New Roman" w:hAnsi="Times New Roman"/>
          <w:color w:val="000000"/>
          <w:spacing w:val="-4"/>
          <w:sz w:val="28"/>
          <w:szCs w:val="28"/>
        </w:rPr>
      </w:pPr>
      <w:r w:rsidRPr="004444C4">
        <w:rPr>
          <w:rFonts w:ascii="Times New Roman" w:hAnsi="Times New Roman"/>
          <w:b/>
          <w:color w:val="000000"/>
          <w:spacing w:val="-4"/>
          <w:sz w:val="28"/>
          <w:szCs w:val="28"/>
        </w:rPr>
        <w:t>Використання для збагачення корисних копалин ре</w:t>
      </w: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t xml:space="preserve">льєфу та природних потоків. Ґ.Аґрікола описує оригінальні способи гравітаційного збагачення (промивки) з використанням природних перепадів висот (зокрема в горах) та потоків, невеликих </w:t>
      </w:r>
      <w:r w:rsidRPr="00594801">
        <w:rPr>
          <w:rFonts w:ascii="Times New Roman" w:hAnsi="Times New Roman"/>
          <w:color w:val="000000"/>
          <w:spacing w:val="-4"/>
          <w:sz w:val="28"/>
          <w:szCs w:val="28"/>
        </w:rPr>
        <w:lastRenderedPageBreak/>
        <w:t>річок, вказуючи, що його використовували, зокрема, португальці. Зауважимо, що сучасне людство ці способи не використо-вує. Суть технологічних рішень давніх збагачувальників полягала у використанні снігових (льодовикових) або дощових вод для промивки корисних ко-палин. При цьому в ущелинах гір, на їх схилах влаштовувалися спеціальні штучні русла, канави, по яких спрямовувалися водні потоки. Після попереднього збагачення рудного матеріалу в таких природних умовах і сходження вод осад штучних русел (канав) видобувався і перезбагачувався у пристроях-гердах.</w:t>
      </w:r>
    </w:p>
    <w:sectPr w:rsidR="00594801" w:rsidRPr="00594801" w:rsidSect="00594801">
      <w:footerReference w:type="even" r:id="rId11"/>
      <w:footerReference w:type="default" r:id="rId12"/>
      <w:pgSz w:w="11907" w:h="16834"/>
      <w:pgMar w:top="1440" w:right="1080" w:bottom="1440" w:left="1080" w:header="720" w:footer="720" w:gutter="0"/>
      <w:pgNumType w:start="1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0FB0" w:rsidRDefault="00560FB0" w:rsidP="0005257D">
      <w:pPr>
        <w:spacing w:after="0" w:line="240" w:lineRule="auto"/>
      </w:pPr>
      <w:r>
        <w:separator/>
      </w:r>
    </w:p>
  </w:endnote>
  <w:endnote w:type="continuationSeparator" w:id="0">
    <w:p w:rsidR="00560FB0" w:rsidRDefault="00560FB0" w:rsidP="00052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ISOCPEUR">
    <w:panose1 w:val="00000000000000000000"/>
    <w:charset w:val="CC"/>
    <w:family w:val="auto"/>
    <w:notTrueType/>
    <w:pitch w:val="variable"/>
    <w:sig w:usb0="00000201" w:usb1="00000000" w:usb2="00000000" w:usb3="00000000" w:csb0="00000004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7950" w:rsidRDefault="000A128A" w:rsidP="00F81E7E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857950" w:rsidRDefault="00560FB0" w:rsidP="00A25266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7950" w:rsidRPr="00A25266" w:rsidRDefault="00560FB0" w:rsidP="00A25266">
    <w:pPr>
      <w:pStyle w:val="a5"/>
      <w:ind w:right="360"/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0FB0" w:rsidRDefault="00560FB0" w:rsidP="0005257D">
      <w:pPr>
        <w:spacing w:after="0" w:line="240" w:lineRule="auto"/>
      </w:pPr>
      <w:r>
        <w:separator/>
      </w:r>
    </w:p>
  </w:footnote>
  <w:footnote w:type="continuationSeparator" w:id="0">
    <w:p w:rsidR="00560FB0" w:rsidRDefault="00560FB0" w:rsidP="000525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051CD"/>
    <w:multiLevelType w:val="hybridMultilevel"/>
    <w:tmpl w:val="DF80C6FE"/>
    <w:lvl w:ilvl="0" w:tplc="969A27FE">
      <w:start w:val="1"/>
      <w:numFmt w:val="decimal"/>
      <w:lvlText w:val="%1."/>
      <w:lvlJc w:val="left"/>
      <w:pPr>
        <w:tabs>
          <w:tab w:val="num" w:pos="470"/>
        </w:tabs>
        <w:ind w:left="470" w:hanging="360"/>
      </w:pPr>
    </w:lvl>
    <w:lvl w:ilvl="1" w:tplc="85BCDFFE">
      <w:numFmt w:val="none"/>
      <w:lvlText w:val=""/>
      <w:lvlJc w:val="left"/>
      <w:pPr>
        <w:tabs>
          <w:tab w:val="num" w:pos="360"/>
        </w:tabs>
      </w:pPr>
    </w:lvl>
    <w:lvl w:ilvl="2" w:tplc="A2D074C8">
      <w:numFmt w:val="none"/>
      <w:lvlText w:val=""/>
      <w:lvlJc w:val="left"/>
      <w:pPr>
        <w:tabs>
          <w:tab w:val="num" w:pos="360"/>
        </w:tabs>
      </w:pPr>
    </w:lvl>
    <w:lvl w:ilvl="3" w:tplc="BCEAF0EE">
      <w:numFmt w:val="none"/>
      <w:lvlText w:val=""/>
      <w:lvlJc w:val="left"/>
      <w:pPr>
        <w:tabs>
          <w:tab w:val="num" w:pos="360"/>
        </w:tabs>
      </w:pPr>
    </w:lvl>
    <w:lvl w:ilvl="4" w:tplc="61569518">
      <w:numFmt w:val="none"/>
      <w:lvlText w:val=""/>
      <w:lvlJc w:val="left"/>
      <w:pPr>
        <w:tabs>
          <w:tab w:val="num" w:pos="360"/>
        </w:tabs>
      </w:pPr>
    </w:lvl>
    <w:lvl w:ilvl="5" w:tplc="5092866A">
      <w:numFmt w:val="none"/>
      <w:lvlText w:val=""/>
      <w:lvlJc w:val="left"/>
      <w:pPr>
        <w:tabs>
          <w:tab w:val="num" w:pos="360"/>
        </w:tabs>
      </w:pPr>
    </w:lvl>
    <w:lvl w:ilvl="6" w:tplc="2F9A827C">
      <w:numFmt w:val="none"/>
      <w:lvlText w:val=""/>
      <w:lvlJc w:val="left"/>
      <w:pPr>
        <w:tabs>
          <w:tab w:val="num" w:pos="360"/>
        </w:tabs>
      </w:pPr>
    </w:lvl>
    <w:lvl w:ilvl="7" w:tplc="77CE7B34">
      <w:numFmt w:val="none"/>
      <w:lvlText w:val=""/>
      <w:lvlJc w:val="left"/>
      <w:pPr>
        <w:tabs>
          <w:tab w:val="num" w:pos="360"/>
        </w:tabs>
      </w:pPr>
    </w:lvl>
    <w:lvl w:ilvl="8" w:tplc="011A9D12">
      <w:numFmt w:val="none"/>
      <w:lvlText w:val=""/>
      <w:lvlJc w:val="left"/>
      <w:pPr>
        <w:tabs>
          <w:tab w:val="num" w:pos="360"/>
        </w:tabs>
      </w:pPr>
    </w:lvl>
  </w:abstractNum>
  <w:abstractNum w:abstractNumId="1" w15:restartNumberingAfterBreak="0">
    <w:nsid w:val="4ABA7D40"/>
    <w:multiLevelType w:val="hybridMultilevel"/>
    <w:tmpl w:val="A6DAA05C"/>
    <w:lvl w:ilvl="0" w:tplc="0419000F">
      <w:start w:val="1"/>
      <w:numFmt w:val="decimal"/>
      <w:lvlText w:val="%1."/>
      <w:lvlJc w:val="left"/>
      <w:pPr>
        <w:tabs>
          <w:tab w:val="num" w:pos="830"/>
        </w:tabs>
        <w:ind w:left="83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50"/>
        </w:tabs>
        <w:ind w:left="155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70"/>
        </w:tabs>
        <w:ind w:left="22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90"/>
        </w:tabs>
        <w:ind w:left="29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10"/>
        </w:tabs>
        <w:ind w:left="37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30"/>
        </w:tabs>
        <w:ind w:left="44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50"/>
        </w:tabs>
        <w:ind w:left="51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70"/>
        </w:tabs>
        <w:ind w:left="58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90"/>
        </w:tabs>
        <w:ind w:left="6590" w:hanging="180"/>
      </w:pPr>
    </w:lvl>
  </w:abstractNum>
  <w:abstractNum w:abstractNumId="2" w15:restartNumberingAfterBreak="0">
    <w:nsid w:val="5D991124"/>
    <w:multiLevelType w:val="hybridMultilevel"/>
    <w:tmpl w:val="6F24341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712E4FA8"/>
    <w:multiLevelType w:val="hybridMultilevel"/>
    <w:tmpl w:val="383E186C"/>
    <w:lvl w:ilvl="0" w:tplc="0419000F">
      <w:start w:val="1"/>
      <w:numFmt w:val="decimal"/>
      <w:lvlText w:val="%1."/>
      <w:lvlJc w:val="left"/>
      <w:pPr>
        <w:tabs>
          <w:tab w:val="num" w:pos="1145"/>
        </w:tabs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65"/>
        </w:tabs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85"/>
        </w:tabs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05"/>
        </w:tabs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25"/>
        </w:tabs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45"/>
        </w:tabs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65"/>
        </w:tabs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85"/>
        </w:tabs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05"/>
        </w:tabs>
        <w:ind w:left="6905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57D"/>
    <w:rsid w:val="0005257D"/>
    <w:rsid w:val="00075B13"/>
    <w:rsid w:val="000A128A"/>
    <w:rsid w:val="00223256"/>
    <w:rsid w:val="004444C4"/>
    <w:rsid w:val="00560FB0"/>
    <w:rsid w:val="00594801"/>
    <w:rsid w:val="00B03207"/>
    <w:rsid w:val="00B3386B"/>
    <w:rsid w:val="00CD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687EF5"/>
  <w15:docId w15:val="{97BC144B-E52D-4D5E-83C3-5D597B2B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257D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257D"/>
    <w:pPr>
      <w:tabs>
        <w:tab w:val="center" w:pos="4677"/>
        <w:tab w:val="right" w:pos="9355"/>
      </w:tabs>
    </w:pPr>
    <w:rPr>
      <w:lang w:val="x-none"/>
    </w:rPr>
  </w:style>
  <w:style w:type="character" w:customStyle="1" w:styleId="a4">
    <w:name w:val="Верхний колонтитул Знак"/>
    <w:basedOn w:val="a0"/>
    <w:link w:val="a3"/>
    <w:uiPriority w:val="99"/>
    <w:rsid w:val="0005257D"/>
    <w:rPr>
      <w:rFonts w:ascii="Calibri" w:eastAsia="Calibri" w:hAnsi="Calibri" w:cs="Times New Roman"/>
      <w:lang w:val="x-none"/>
    </w:rPr>
  </w:style>
  <w:style w:type="paragraph" w:styleId="a5">
    <w:name w:val="footer"/>
    <w:basedOn w:val="a"/>
    <w:link w:val="a6"/>
    <w:uiPriority w:val="99"/>
    <w:unhideWhenUsed/>
    <w:rsid w:val="0005257D"/>
    <w:pPr>
      <w:tabs>
        <w:tab w:val="center" w:pos="4677"/>
        <w:tab w:val="right" w:pos="9355"/>
      </w:tabs>
    </w:pPr>
    <w:rPr>
      <w:lang w:val="x-none"/>
    </w:rPr>
  </w:style>
  <w:style w:type="character" w:customStyle="1" w:styleId="a6">
    <w:name w:val="Нижний колонтитул Знак"/>
    <w:basedOn w:val="a0"/>
    <w:link w:val="a5"/>
    <w:uiPriority w:val="99"/>
    <w:rsid w:val="0005257D"/>
    <w:rPr>
      <w:rFonts w:ascii="Calibri" w:eastAsia="Calibri" w:hAnsi="Calibri" w:cs="Times New Roman"/>
      <w:lang w:val="x-none"/>
    </w:rPr>
  </w:style>
  <w:style w:type="character" w:styleId="a7">
    <w:name w:val="page number"/>
    <w:basedOn w:val="a0"/>
    <w:rsid w:val="0005257D"/>
  </w:style>
  <w:style w:type="paragraph" w:customStyle="1" w:styleId="a8">
    <w:name w:val="Чертежный"/>
    <w:rsid w:val="000525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0525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5257D"/>
    <w:rPr>
      <w:rFonts w:ascii="Tahoma" w:eastAsia="Calibri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8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6145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63355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47954258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34626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186944423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01507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182736201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57628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13594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5717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7140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141266097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95721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172151930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72573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17099931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30567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3544B5-7495-448A-A75F-56341712F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1593</Words>
  <Characters>9081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SKolomiets</dc:creator>
  <cp:lastModifiedBy>Максим Павленко</cp:lastModifiedBy>
  <cp:revision>3</cp:revision>
  <cp:lastPrinted>2015-10-11T20:17:00Z</cp:lastPrinted>
  <dcterms:created xsi:type="dcterms:W3CDTF">2015-10-11T20:02:00Z</dcterms:created>
  <dcterms:modified xsi:type="dcterms:W3CDTF">2015-10-11T20:18:00Z</dcterms:modified>
</cp:coreProperties>
</file>